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C847" w14:textId="77777777" w:rsidR="008B152F" w:rsidRDefault="00830CBA" w:rsidP="00371F9C">
      <w:pPr>
        <w:jc w:val="center"/>
      </w:pPr>
      <w:r>
        <w:rPr>
          <w:noProof/>
        </w:rPr>
        <w:drawing>
          <wp:inline distT="0" distB="0" distL="0" distR="0" wp14:anchorId="6327FA1F" wp14:editId="0FB364BC">
            <wp:extent cx="10872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87200" cy="1260000"/>
                    </a:xfrm>
                    <a:prstGeom prst="rect">
                      <a:avLst/>
                    </a:prstGeom>
                  </pic:spPr>
                </pic:pic>
              </a:graphicData>
            </a:graphic>
          </wp:inline>
        </w:drawing>
      </w:r>
    </w:p>
    <w:p w14:paraId="672115F8" w14:textId="77777777" w:rsidR="0077224C" w:rsidRDefault="0077224C" w:rsidP="00371F9C">
      <w:pPr>
        <w:jc w:val="center"/>
        <w:rPr>
          <w:b/>
          <w:sz w:val="32"/>
        </w:rPr>
      </w:pPr>
    </w:p>
    <w:p w14:paraId="70CF0A81" w14:textId="51D2E2D6" w:rsidR="00DF5D1D" w:rsidRPr="00DF5D1D" w:rsidRDefault="00DF5D1D" w:rsidP="00147A59">
      <w:pPr>
        <w:pStyle w:val="Covertitle"/>
        <w:jc w:val="center"/>
        <w:rPr>
          <w:rFonts w:ascii="Helvetica" w:hAnsi="Helvetica" w:cs="Helvetica"/>
          <w:color w:val="auto"/>
        </w:rPr>
      </w:pPr>
      <w:r w:rsidRPr="00DF5D1D">
        <w:rPr>
          <w:b/>
          <w:bCs/>
          <w:color w:val="auto"/>
        </w:rPr>
        <w:t>COVID support ceases</w:t>
      </w:r>
    </w:p>
    <w:p w14:paraId="7E053FEB" w14:textId="77777777" w:rsidR="00147A59" w:rsidRDefault="00147A59" w:rsidP="008D1205">
      <w:pPr>
        <w:pStyle w:val="Coversubtitle"/>
        <w:jc w:val="center"/>
        <w:rPr>
          <w:rFonts w:ascii="Helvetica" w:hAnsi="Helvetica" w:cs="Helvetica"/>
        </w:rPr>
      </w:pPr>
    </w:p>
    <w:p w14:paraId="2AB8E07F" w14:textId="02AB9A02" w:rsidR="00435270" w:rsidRPr="00147A59" w:rsidRDefault="00DF5D1D" w:rsidP="00DF5D1D">
      <w:pPr>
        <w:pStyle w:val="Coversubtitle"/>
        <w:spacing w:before="240" w:after="240"/>
        <w:jc w:val="center"/>
        <w:rPr>
          <w:rFonts w:ascii="Helvetica" w:hAnsi="Helvetica" w:cs="Helvetica"/>
        </w:rPr>
      </w:pPr>
      <w:r>
        <w:t>Support programs that ceased</w:t>
      </w:r>
      <w:r>
        <w:t xml:space="preserve"> </w:t>
      </w:r>
      <w:r>
        <w:t xml:space="preserve">30 September 2021  </w:t>
      </w:r>
      <w:r w:rsidR="00435270">
        <w:t xml:space="preserve">  </w:t>
      </w:r>
    </w:p>
    <w:p w14:paraId="747861E8" w14:textId="77777777" w:rsidR="0077224C" w:rsidRDefault="0077224C" w:rsidP="00371F9C">
      <w:pPr>
        <w:jc w:val="left"/>
        <w:rPr>
          <w:sz w:val="32"/>
        </w:rPr>
      </w:pPr>
      <w:r w:rsidRPr="0077224C">
        <w:rPr>
          <w:sz w:val="32"/>
        </w:rPr>
        <w:t>_____________________________________________</w:t>
      </w:r>
      <w:r>
        <w:rPr>
          <w:sz w:val="32"/>
        </w:rPr>
        <w:t>_____</w:t>
      </w:r>
    </w:p>
    <w:p w14:paraId="49510468" w14:textId="77777777" w:rsidR="000533D6" w:rsidRDefault="000533D6" w:rsidP="000533D6">
      <w:pPr>
        <w:rPr>
          <w:rFonts w:cs="Helvetica"/>
        </w:rPr>
      </w:pPr>
    </w:p>
    <w:p w14:paraId="618E56D7" w14:textId="77777777" w:rsidR="00DF5D1D" w:rsidRPr="00704CE2" w:rsidRDefault="00DF5D1D" w:rsidP="00DF5D1D">
      <w:pPr>
        <w:shd w:val="clear" w:color="auto" w:fill="FFFFFF"/>
        <w:rPr>
          <w:rFonts w:cstheme="minorHAnsi"/>
          <w:b/>
          <w:bCs/>
          <w:color w:val="0B0C0C"/>
        </w:rPr>
      </w:pPr>
      <w:r>
        <w:rPr>
          <w:rFonts w:cstheme="minorHAnsi"/>
          <w:b/>
          <w:bCs/>
          <w:color w:val="0B0C0C"/>
        </w:rPr>
        <w:t>Many of the major support programs introduced by the government to help businesses during the pandemic ceased at the end of September 2021. This short update lists the major grants and concessions affected.</w:t>
      </w:r>
    </w:p>
    <w:p w14:paraId="2CA66EAB" w14:textId="77777777" w:rsidR="00DF5D1D" w:rsidRPr="00704CE2" w:rsidRDefault="00DF5D1D" w:rsidP="00DF5D1D">
      <w:pPr>
        <w:shd w:val="clear" w:color="auto" w:fill="FFFFFF"/>
        <w:rPr>
          <w:rFonts w:cstheme="minorHAnsi"/>
          <w:color w:val="0B0C0C"/>
          <w:sz w:val="24"/>
        </w:rPr>
      </w:pPr>
    </w:p>
    <w:p w14:paraId="07F05391" w14:textId="77777777" w:rsidR="00DF5D1D" w:rsidRDefault="00DF5D1D" w:rsidP="00DF5D1D">
      <w:pPr>
        <w:pStyle w:val="Heading1"/>
        <w:rPr>
          <w:rFonts w:asciiTheme="minorHAnsi" w:hAnsiTheme="minorHAnsi" w:cstheme="minorHAnsi"/>
          <w:szCs w:val="28"/>
        </w:rPr>
      </w:pPr>
      <w:r>
        <w:rPr>
          <w:rFonts w:asciiTheme="minorHAnsi" w:hAnsiTheme="minorHAnsi" w:cstheme="minorHAnsi"/>
          <w:szCs w:val="28"/>
        </w:rPr>
        <w:t>5% VAT on hospitality trades is increased to12.5%</w:t>
      </w:r>
    </w:p>
    <w:p w14:paraId="29C2930E" w14:textId="77777777" w:rsidR="00DF5D1D" w:rsidRDefault="00DF5D1D" w:rsidP="00DF5D1D">
      <w:pPr>
        <w:shd w:val="clear" w:color="auto" w:fill="FFFFFF"/>
        <w:rPr>
          <w:rFonts w:cstheme="minorHAnsi"/>
          <w:color w:val="0B0C0C"/>
        </w:rPr>
      </w:pPr>
    </w:p>
    <w:p w14:paraId="28904E76" w14:textId="77777777" w:rsidR="00DF5D1D" w:rsidRPr="00AC1ECF" w:rsidRDefault="00DF5D1D" w:rsidP="00DF5D1D">
      <w:pPr>
        <w:shd w:val="clear" w:color="auto" w:fill="FFFFFF"/>
        <w:rPr>
          <w:rFonts w:cstheme="minorHAnsi"/>
          <w:color w:val="0B0C0C"/>
        </w:rPr>
      </w:pPr>
      <w:r w:rsidRPr="00AC1ECF">
        <w:rPr>
          <w:rFonts w:cstheme="minorHAnsi"/>
          <w:color w:val="0B0C0C"/>
        </w:rPr>
        <w:t>Since July 2020, the rate of VAT that has applied to many services supplied by hospitality trades was reduced from 20% to just 5%. This reduction was extended to 30 September 2021.</w:t>
      </w:r>
    </w:p>
    <w:p w14:paraId="431EDE8E" w14:textId="77777777" w:rsidR="00DF5D1D" w:rsidRPr="00AC1ECF" w:rsidRDefault="00DF5D1D" w:rsidP="00DF5D1D">
      <w:pPr>
        <w:shd w:val="clear" w:color="auto" w:fill="FFFFFF"/>
        <w:rPr>
          <w:rFonts w:cstheme="minorHAnsi"/>
          <w:color w:val="0B0C0C"/>
        </w:rPr>
      </w:pPr>
    </w:p>
    <w:p w14:paraId="124CD7B0" w14:textId="77777777" w:rsidR="00DF5D1D" w:rsidRPr="00AC1ECF" w:rsidRDefault="00DF5D1D" w:rsidP="00DF5D1D">
      <w:pPr>
        <w:shd w:val="clear" w:color="auto" w:fill="FFFFFF"/>
        <w:rPr>
          <w:rFonts w:cstheme="minorHAnsi"/>
          <w:color w:val="0B0C0C"/>
        </w:rPr>
      </w:pPr>
      <w:r w:rsidRPr="00AC1ECF">
        <w:rPr>
          <w:rFonts w:cstheme="minorHAnsi"/>
          <w:color w:val="0B0C0C"/>
        </w:rPr>
        <w:t>From 1 October 2021 to 31 March 2022, the 5% rate will be replaced by a 12.5% rate.</w:t>
      </w:r>
    </w:p>
    <w:p w14:paraId="28FB3635" w14:textId="77777777" w:rsidR="00DF5D1D" w:rsidRPr="00AC1ECF" w:rsidRDefault="00DF5D1D" w:rsidP="00DF5D1D">
      <w:pPr>
        <w:shd w:val="clear" w:color="auto" w:fill="FFFFFF"/>
        <w:rPr>
          <w:rFonts w:cstheme="minorHAnsi"/>
          <w:color w:val="0B0C0C"/>
        </w:rPr>
      </w:pPr>
    </w:p>
    <w:p w14:paraId="485B5CBB" w14:textId="77777777" w:rsidR="00DF5D1D" w:rsidRPr="00AC1ECF" w:rsidRDefault="00DF5D1D" w:rsidP="00DF5D1D">
      <w:pPr>
        <w:shd w:val="clear" w:color="auto" w:fill="FFFFFF"/>
        <w:rPr>
          <w:rFonts w:cstheme="minorHAnsi"/>
          <w:b/>
          <w:bCs/>
          <w:color w:val="0B0C0C"/>
        </w:rPr>
      </w:pPr>
      <w:r w:rsidRPr="00AC1ECF">
        <w:rPr>
          <w:rFonts w:cstheme="minorHAnsi"/>
          <w:b/>
          <w:bCs/>
          <w:color w:val="0B0C0C"/>
        </w:rPr>
        <w:t>Affected VAT registered traders will need to update their VAT software to account for this rate change.</w:t>
      </w:r>
    </w:p>
    <w:p w14:paraId="740144BA" w14:textId="77777777" w:rsidR="00DF5D1D" w:rsidRPr="00AC1ECF" w:rsidRDefault="00DF5D1D" w:rsidP="00DF5D1D">
      <w:pPr>
        <w:shd w:val="clear" w:color="auto" w:fill="FFFFFF"/>
        <w:rPr>
          <w:rFonts w:cstheme="minorHAnsi"/>
          <w:b/>
          <w:bCs/>
          <w:color w:val="0B0C0C"/>
        </w:rPr>
      </w:pPr>
    </w:p>
    <w:p w14:paraId="6FB688C1" w14:textId="77777777" w:rsidR="00DF5D1D" w:rsidRPr="00AC1ECF" w:rsidRDefault="00DF5D1D" w:rsidP="00DF5D1D">
      <w:pPr>
        <w:shd w:val="clear" w:color="auto" w:fill="FFFFFF"/>
        <w:rPr>
          <w:rFonts w:cstheme="minorHAnsi"/>
          <w:color w:val="0B0C0C"/>
        </w:rPr>
      </w:pPr>
      <w:r w:rsidRPr="00AC1ECF">
        <w:rPr>
          <w:rFonts w:cstheme="minorHAnsi"/>
          <w:color w:val="0B0C0C"/>
        </w:rPr>
        <w:t>The 12.5% rate is a new VAT rate. For the first time we have four rates of VAT; 0%, 5%, 12.5% and 20%.</w:t>
      </w:r>
    </w:p>
    <w:p w14:paraId="48A9579D" w14:textId="77777777" w:rsidR="00DF5D1D" w:rsidRPr="00AC1ECF" w:rsidRDefault="00DF5D1D" w:rsidP="00DF5D1D">
      <w:pPr>
        <w:shd w:val="clear" w:color="auto" w:fill="FFFFFF"/>
        <w:rPr>
          <w:rFonts w:cstheme="minorHAnsi"/>
          <w:color w:val="0B0C0C"/>
        </w:rPr>
      </w:pPr>
    </w:p>
    <w:p w14:paraId="2392F37C" w14:textId="77777777" w:rsidR="00DF5D1D" w:rsidRDefault="00DF5D1D" w:rsidP="00DF5D1D">
      <w:pPr>
        <w:shd w:val="clear" w:color="auto" w:fill="FFFFFF"/>
        <w:rPr>
          <w:rFonts w:cstheme="minorHAnsi"/>
          <w:color w:val="0B0C0C"/>
        </w:rPr>
      </w:pPr>
      <w:r w:rsidRPr="00AC1ECF">
        <w:rPr>
          <w:rFonts w:cstheme="minorHAnsi"/>
          <w:color w:val="0B0C0C"/>
        </w:rPr>
        <w:t xml:space="preserve">From 1 April 2022, it is assumed that rates for the hospitality sector will return to 20%. </w:t>
      </w:r>
    </w:p>
    <w:p w14:paraId="5793A088" w14:textId="77777777" w:rsidR="00DF5D1D" w:rsidRDefault="00DF5D1D" w:rsidP="00DF5D1D">
      <w:pPr>
        <w:shd w:val="clear" w:color="auto" w:fill="FFFFFF"/>
        <w:rPr>
          <w:rFonts w:cstheme="minorHAnsi"/>
          <w:color w:val="0B0C0C"/>
        </w:rPr>
      </w:pPr>
    </w:p>
    <w:p w14:paraId="55825BFE" w14:textId="77777777" w:rsidR="00DF5D1D" w:rsidRDefault="00DF5D1D" w:rsidP="00DF5D1D">
      <w:pPr>
        <w:shd w:val="clear" w:color="auto" w:fill="FFFFFF"/>
        <w:rPr>
          <w:rFonts w:cstheme="minorHAnsi"/>
          <w:color w:val="0B0C0C"/>
        </w:rPr>
      </w:pPr>
      <w:r w:rsidRPr="00AC1ECF">
        <w:rPr>
          <w:rFonts w:cstheme="minorHAnsi"/>
          <w:color w:val="0B0C0C"/>
        </w:rPr>
        <w:t>However, during these turbulent times, we can take nothing for granted.</w:t>
      </w:r>
    </w:p>
    <w:p w14:paraId="05101045" w14:textId="77777777" w:rsidR="00DF5D1D" w:rsidRPr="00AC590D" w:rsidRDefault="00DF5D1D" w:rsidP="00DF5D1D">
      <w:pPr>
        <w:shd w:val="clear" w:color="auto" w:fill="FFFFFF"/>
        <w:rPr>
          <w:rFonts w:cstheme="minorHAnsi"/>
          <w:color w:val="0B0C0C"/>
          <w:sz w:val="24"/>
        </w:rPr>
      </w:pPr>
    </w:p>
    <w:p w14:paraId="544CD73F" w14:textId="77777777" w:rsidR="00DF5D1D" w:rsidRDefault="00DF5D1D" w:rsidP="00DF5D1D">
      <w:pPr>
        <w:pStyle w:val="Heading1"/>
        <w:rPr>
          <w:rFonts w:asciiTheme="minorHAnsi" w:hAnsiTheme="minorHAnsi" w:cstheme="minorHAnsi"/>
          <w:szCs w:val="28"/>
        </w:rPr>
      </w:pPr>
      <w:r>
        <w:rPr>
          <w:rFonts w:asciiTheme="minorHAnsi" w:hAnsiTheme="minorHAnsi" w:cstheme="minorHAnsi"/>
          <w:szCs w:val="28"/>
        </w:rPr>
        <w:t>The furlough scheme has ended</w:t>
      </w:r>
    </w:p>
    <w:p w14:paraId="22EA5DDC" w14:textId="77777777" w:rsidR="00DF5D1D" w:rsidRDefault="00DF5D1D" w:rsidP="00DF5D1D"/>
    <w:p w14:paraId="141F8FD3" w14:textId="77777777" w:rsidR="00DF5D1D" w:rsidRPr="00106DC5" w:rsidRDefault="00DF5D1D" w:rsidP="00DF5D1D">
      <w:r>
        <w:t>The job-saving Coronavirus Job Retention Scheme has ended. The last claim that can be made is to 30 September 2021.</w:t>
      </w:r>
    </w:p>
    <w:p w14:paraId="19DD4F65" w14:textId="77777777" w:rsidR="00DF5D1D" w:rsidRDefault="00DF5D1D" w:rsidP="00DF5D1D">
      <w:pPr>
        <w:pStyle w:val="Heading1"/>
        <w:rPr>
          <w:rFonts w:asciiTheme="minorHAnsi" w:hAnsiTheme="minorHAnsi" w:cstheme="minorHAnsi"/>
          <w:szCs w:val="28"/>
        </w:rPr>
      </w:pPr>
    </w:p>
    <w:p w14:paraId="5A3BA2F1" w14:textId="77777777" w:rsidR="00DF5D1D" w:rsidRDefault="00DF5D1D" w:rsidP="00DF5D1D">
      <w:pPr>
        <w:pStyle w:val="Heading1"/>
        <w:rPr>
          <w:rFonts w:asciiTheme="minorHAnsi" w:hAnsiTheme="minorHAnsi" w:cstheme="minorHAnsi"/>
          <w:szCs w:val="28"/>
        </w:rPr>
      </w:pPr>
      <w:r>
        <w:rPr>
          <w:rFonts w:asciiTheme="minorHAnsi" w:hAnsiTheme="minorHAnsi" w:cstheme="minorHAnsi"/>
          <w:szCs w:val="28"/>
        </w:rPr>
        <w:t>Self-Employed Income Support Scheme (SEISS)</w:t>
      </w:r>
    </w:p>
    <w:p w14:paraId="3CE6DBCE" w14:textId="77777777" w:rsidR="00DF5D1D" w:rsidRDefault="00DF5D1D" w:rsidP="00DF5D1D">
      <w:pPr>
        <w:shd w:val="clear" w:color="auto" w:fill="FFFFFF"/>
        <w:spacing w:after="75"/>
      </w:pPr>
    </w:p>
    <w:p w14:paraId="7F8B4905" w14:textId="77777777" w:rsidR="00DF5D1D" w:rsidRPr="00106DC5" w:rsidRDefault="00DF5D1D" w:rsidP="00DF5D1D">
      <w:pPr>
        <w:shd w:val="clear" w:color="auto" w:fill="FFFFFF"/>
        <w:spacing w:after="75"/>
        <w:rPr>
          <w:rFonts w:ascii="Arial" w:hAnsi="Arial" w:cs="Arial"/>
          <w:color w:val="0B0C0C"/>
        </w:rPr>
      </w:pPr>
      <w:r>
        <w:t>The SEISS has closed. The final claim was for the five months to 30 September 2021.</w:t>
      </w:r>
    </w:p>
    <w:p w14:paraId="1D7D4732" w14:textId="77777777" w:rsidR="00DF5D1D" w:rsidRDefault="00DF5D1D" w:rsidP="00DF5D1D">
      <w:pPr>
        <w:pStyle w:val="Heading1"/>
        <w:rPr>
          <w:rFonts w:asciiTheme="minorHAnsi" w:hAnsiTheme="minorHAnsi" w:cstheme="minorHAnsi"/>
          <w:szCs w:val="28"/>
        </w:rPr>
      </w:pPr>
    </w:p>
    <w:p w14:paraId="6A20FEBC" w14:textId="77777777" w:rsidR="00DF5D1D" w:rsidRDefault="00DF5D1D" w:rsidP="00DF5D1D">
      <w:pPr>
        <w:pStyle w:val="Heading1"/>
        <w:rPr>
          <w:rFonts w:asciiTheme="minorHAnsi" w:hAnsiTheme="minorHAnsi" w:cstheme="minorHAnsi"/>
          <w:szCs w:val="28"/>
        </w:rPr>
      </w:pPr>
      <w:r>
        <w:rPr>
          <w:rFonts w:asciiTheme="minorHAnsi" w:hAnsiTheme="minorHAnsi" w:cstheme="minorHAnsi"/>
          <w:szCs w:val="28"/>
        </w:rPr>
        <w:t>Universal Credits</w:t>
      </w:r>
    </w:p>
    <w:p w14:paraId="0ED96DA2" w14:textId="77777777" w:rsidR="00DF5D1D" w:rsidRDefault="00DF5D1D" w:rsidP="00DF5D1D"/>
    <w:p w14:paraId="464F9294" w14:textId="77777777" w:rsidR="00DF5D1D" w:rsidRPr="00106DC5" w:rsidRDefault="00DF5D1D" w:rsidP="00DF5D1D">
      <w:r>
        <w:lastRenderedPageBreak/>
        <w:t>Amid much commentary in the press, the £20 uplift ended 6</w:t>
      </w:r>
      <w:r w:rsidRPr="00AC1ECF">
        <w:rPr>
          <w:vertAlign w:val="superscript"/>
        </w:rPr>
        <w:t>th</w:t>
      </w:r>
      <w:r>
        <w:t xml:space="preserve"> October 2021. However, the actual date claimants will experience a reduction in their payments will depend on the day they usually receive Universal Credit. Again, government may bow to pressure and delay this date or make the £20 a permanent increase in benefits. At the present time, claimants will need to adjust to a reduced payment. </w:t>
      </w:r>
    </w:p>
    <w:p w14:paraId="75B7107A" w14:textId="77777777" w:rsidR="00DF5D1D" w:rsidRDefault="00DF5D1D" w:rsidP="00DF5D1D">
      <w:pPr>
        <w:shd w:val="clear" w:color="auto" w:fill="FFFFFF"/>
        <w:rPr>
          <w:rFonts w:cstheme="minorHAnsi"/>
          <w:color w:val="0B0C0C"/>
        </w:rPr>
      </w:pPr>
    </w:p>
    <w:p w14:paraId="0B001AED" w14:textId="77777777" w:rsidR="00DF5D1D" w:rsidRDefault="00DF5D1D" w:rsidP="00DF5D1D"/>
    <w:p w14:paraId="6DBD3C3D" w14:textId="77777777" w:rsidR="00435270" w:rsidRPr="00435270" w:rsidRDefault="00435270" w:rsidP="00435270">
      <w:pPr>
        <w:shd w:val="clear" w:color="auto" w:fill="FFFFFF"/>
        <w:rPr>
          <w:rFonts w:cstheme="minorHAnsi"/>
          <w:b/>
          <w:bCs/>
          <w:color w:val="0B0C0C"/>
        </w:rPr>
      </w:pPr>
      <w:r w:rsidRPr="00435270">
        <w:rPr>
          <w:rFonts w:cstheme="minorHAnsi"/>
          <w:b/>
          <w:bCs/>
          <w:color w:val="0B0C0C"/>
        </w:rPr>
        <w:t>Please call if you need more information regarding these changes.</w:t>
      </w:r>
    </w:p>
    <w:p w14:paraId="729A3D49" w14:textId="77777777" w:rsidR="00147A59" w:rsidRPr="00147A59" w:rsidRDefault="00147A59" w:rsidP="00147A59">
      <w:pPr>
        <w:pStyle w:val="Heading1"/>
        <w:rPr>
          <w:rFonts w:ascii="Helvetica" w:hAnsi="Helvetica" w:cs="Helvetica"/>
          <w:sz w:val="22"/>
          <w:szCs w:val="22"/>
        </w:rPr>
      </w:pPr>
    </w:p>
    <w:p w14:paraId="66E556B2" w14:textId="77777777" w:rsidR="00894E32" w:rsidRDefault="00C604A7" w:rsidP="00D95CF8">
      <w:pPr>
        <w:spacing w:before="240"/>
        <w:jc w:val="left"/>
        <w:rPr>
          <w:b/>
          <w:sz w:val="26"/>
          <w:szCs w:val="26"/>
        </w:rPr>
      </w:pPr>
      <w:r>
        <w:rPr>
          <w:noProof/>
        </w:rPr>
        <w:drawing>
          <wp:inline distT="0" distB="0" distL="0" distR="0" wp14:anchorId="702C423B" wp14:editId="6CF5CBA4">
            <wp:extent cx="5732145" cy="967740"/>
            <wp:effectExtent l="0" t="0" r="1905" b="381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6" cstate="print">
                      <a:extLst>
                        <a:ext uri="{28A0092B-C50C-407E-A947-70E740481C1C}">
                          <a14:useLocalDpi xmlns:a14="http://schemas.microsoft.com/office/drawing/2010/main" val="0"/>
                        </a:ext>
                      </a:extLst>
                    </a:blip>
                    <a:srcRect t="587" b="24779"/>
                    <a:stretch/>
                  </pic:blipFill>
                  <pic:spPr bwMode="auto">
                    <a:xfrm>
                      <a:off x="0" y="0"/>
                      <a:ext cx="5732145" cy="967740"/>
                    </a:xfrm>
                    <a:prstGeom prst="rect">
                      <a:avLst/>
                    </a:prstGeom>
                    <a:ln>
                      <a:noFill/>
                    </a:ln>
                    <a:extLst>
                      <a:ext uri="{53640926-AAD7-44D8-BBD7-CCE9431645EC}">
                        <a14:shadowObscured xmlns:a14="http://schemas.microsoft.com/office/drawing/2010/main"/>
                      </a:ext>
                    </a:extLst>
                  </pic:spPr>
                </pic:pic>
              </a:graphicData>
            </a:graphic>
          </wp:inline>
        </w:drawing>
      </w:r>
    </w:p>
    <w:p w14:paraId="073BE600" w14:textId="77777777" w:rsidR="003C04F2" w:rsidRPr="003C04F2" w:rsidRDefault="002E326D" w:rsidP="00D95CF8">
      <w:pPr>
        <w:spacing w:before="240"/>
        <w:jc w:val="left"/>
        <w:rPr>
          <w:rFonts w:cs="Helvetica"/>
          <w:sz w:val="24"/>
        </w:rPr>
      </w:pPr>
      <w:r>
        <w:rPr>
          <w:rFonts w:cs="Helvetica"/>
          <w:sz w:val="24"/>
        </w:rPr>
        <w:t>_________________________________________________________________</w:t>
      </w:r>
      <w:r w:rsidR="000647D0">
        <w:rPr>
          <w:rFonts w:cs="Helvetica"/>
          <w:sz w:val="24"/>
        </w:rPr>
        <w:softHyphen/>
      </w:r>
      <w:r>
        <w:rPr>
          <w:rFonts w:cs="Helvetica"/>
          <w:sz w:val="24"/>
        </w:rPr>
        <w:t>__</w:t>
      </w:r>
    </w:p>
    <w:p w14:paraId="1FF340BB" w14:textId="77777777" w:rsidR="003C04F2" w:rsidRPr="003C04F2" w:rsidRDefault="003C04F2" w:rsidP="00371F9C">
      <w:pPr>
        <w:spacing w:after="60"/>
        <w:ind w:left="-40"/>
        <w:jc w:val="left"/>
        <w:rPr>
          <w:rFonts w:cs="Helvetica"/>
          <w:sz w:val="24"/>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3C04F2" w:rsidRPr="003C04F2" w14:paraId="685096E9" w14:textId="77777777" w:rsidTr="002E326D">
        <w:tc>
          <w:tcPr>
            <w:tcW w:w="4508" w:type="dxa"/>
          </w:tcPr>
          <w:p w14:paraId="5206F849" w14:textId="77777777" w:rsidR="003C04F2" w:rsidRPr="003C04F2" w:rsidRDefault="00830CBA" w:rsidP="00371F9C">
            <w:pPr>
              <w:spacing w:after="60"/>
              <w:jc w:val="left"/>
              <w:rPr>
                <w:rFonts w:cs="Helvetica"/>
                <w:sz w:val="24"/>
              </w:rPr>
            </w:pPr>
            <w:r>
              <w:rPr>
                <w:noProof/>
              </w:rPr>
              <w:drawing>
                <wp:inline distT="0" distB="0" distL="0" distR="0" wp14:anchorId="2C92364F" wp14:editId="003A458D">
                  <wp:extent cx="1087200" cy="12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87200" cy="1260000"/>
                          </a:xfrm>
                          <a:prstGeom prst="rect">
                            <a:avLst/>
                          </a:prstGeom>
                        </pic:spPr>
                      </pic:pic>
                    </a:graphicData>
                  </a:graphic>
                </wp:inline>
              </w:drawing>
            </w:r>
          </w:p>
        </w:tc>
        <w:tc>
          <w:tcPr>
            <w:tcW w:w="4509" w:type="dxa"/>
          </w:tcPr>
          <w:p w14:paraId="706FE4C1" w14:textId="77777777" w:rsidR="003C04F2" w:rsidRPr="002E326D" w:rsidRDefault="003C04F2" w:rsidP="00371F9C">
            <w:pPr>
              <w:pStyle w:val="Heading4"/>
              <w:spacing w:before="80"/>
              <w:jc w:val="left"/>
              <w:outlineLvl w:val="3"/>
              <w:rPr>
                <w:rFonts w:ascii="Helvetica" w:hAnsi="Helvetica" w:cs="Helvetica"/>
                <w:b/>
                <w:i w:val="0"/>
                <w:color w:val="FFC000"/>
                <w:sz w:val="24"/>
              </w:rPr>
            </w:pPr>
            <w:r w:rsidRPr="002E326D">
              <w:rPr>
                <w:rFonts w:ascii="Helvetica" w:hAnsi="Helvetica" w:cs="Helvetica"/>
                <w:b/>
                <w:i w:val="0"/>
                <w:color w:val="FFC000"/>
                <w:sz w:val="24"/>
              </w:rPr>
              <w:t>Contact Us</w:t>
            </w:r>
          </w:p>
          <w:p w14:paraId="0FA7B0F5" w14:textId="77777777" w:rsidR="003C04F2" w:rsidRPr="003C04F2" w:rsidRDefault="003C04F2" w:rsidP="00371F9C">
            <w:pPr>
              <w:spacing w:before="120"/>
              <w:jc w:val="left"/>
              <w:rPr>
                <w:rFonts w:cs="Helvetica"/>
                <w:sz w:val="24"/>
              </w:rPr>
            </w:pPr>
            <w:r w:rsidRPr="002E326D">
              <w:rPr>
                <w:rFonts w:cs="Helvetica"/>
                <w:sz w:val="24"/>
              </w:rPr>
              <w:t>support@marclawson.co.uk</w:t>
            </w:r>
          </w:p>
          <w:p w14:paraId="2F3C6FC3" w14:textId="77777777" w:rsidR="003C04F2" w:rsidRPr="003C04F2" w:rsidRDefault="003C04F2" w:rsidP="00371F9C">
            <w:pPr>
              <w:spacing w:before="120"/>
              <w:jc w:val="left"/>
              <w:rPr>
                <w:rFonts w:cs="Helvetica"/>
                <w:sz w:val="24"/>
              </w:rPr>
            </w:pPr>
            <w:r w:rsidRPr="003C04F2">
              <w:rPr>
                <w:rFonts w:cs="Helvetica"/>
                <w:sz w:val="24"/>
              </w:rPr>
              <w:t>01752 752210</w:t>
            </w:r>
          </w:p>
          <w:p w14:paraId="3C984DA1" w14:textId="77777777" w:rsidR="003C04F2" w:rsidRPr="003C04F2" w:rsidRDefault="003C04F2" w:rsidP="00371F9C">
            <w:pPr>
              <w:spacing w:before="120"/>
              <w:jc w:val="left"/>
              <w:rPr>
                <w:rFonts w:cs="Helvetica"/>
                <w:sz w:val="24"/>
              </w:rPr>
            </w:pPr>
            <w:r w:rsidRPr="003C04F2">
              <w:rPr>
                <w:rFonts w:cs="Helvetica"/>
                <w:sz w:val="24"/>
              </w:rPr>
              <w:t>Unit 4, Sandy Court, Ashleigh Way,</w:t>
            </w:r>
          </w:p>
          <w:p w14:paraId="39E6DF66" w14:textId="77777777" w:rsidR="003C04F2" w:rsidRPr="003C04F2" w:rsidRDefault="003C04F2" w:rsidP="00371F9C">
            <w:pPr>
              <w:spacing w:before="120"/>
              <w:jc w:val="left"/>
              <w:rPr>
                <w:rFonts w:cs="Helvetica"/>
                <w:sz w:val="24"/>
              </w:rPr>
            </w:pPr>
            <w:r w:rsidRPr="003C04F2">
              <w:rPr>
                <w:rFonts w:cs="Helvetica"/>
                <w:sz w:val="24"/>
              </w:rPr>
              <w:t>Plympton, Plymouth, PL7 5JX</w:t>
            </w:r>
          </w:p>
          <w:p w14:paraId="69151196" w14:textId="77777777" w:rsidR="003C04F2" w:rsidRPr="003C04F2" w:rsidRDefault="003C04F2" w:rsidP="00371F9C">
            <w:pPr>
              <w:spacing w:before="120"/>
              <w:jc w:val="left"/>
              <w:rPr>
                <w:rFonts w:cs="Helvetica"/>
                <w:sz w:val="24"/>
              </w:rPr>
            </w:pPr>
            <w:r w:rsidRPr="002E326D">
              <w:rPr>
                <w:rFonts w:cs="Helvetica"/>
                <w:sz w:val="24"/>
              </w:rPr>
              <w:t>www.bvisionaccountants.co.uk</w:t>
            </w:r>
          </w:p>
        </w:tc>
      </w:tr>
    </w:tbl>
    <w:p w14:paraId="76BA464D" w14:textId="77777777" w:rsidR="003C04F2" w:rsidRPr="003C04F2" w:rsidRDefault="003C04F2" w:rsidP="00C604A7">
      <w:pPr>
        <w:spacing w:after="60"/>
        <w:jc w:val="left"/>
        <w:rPr>
          <w:rFonts w:cs="Helvetica"/>
          <w:sz w:val="24"/>
        </w:rPr>
      </w:pPr>
    </w:p>
    <w:sectPr w:rsidR="003C04F2" w:rsidRPr="003C04F2" w:rsidSect="00830CBA">
      <w:pgSz w:w="11907" w:h="16840" w:code="9"/>
      <w:pgMar w:top="1134" w:right="1440" w:bottom="1134" w:left="1440"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467"/>
    <w:multiLevelType w:val="hybridMultilevel"/>
    <w:tmpl w:val="B846E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5C7810"/>
    <w:multiLevelType w:val="hybridMultilevel"/>
    <w:tmpl w:val="8D104A60"/>
    <w:lvl w:ilvl="0" w:tplc="BE0C517A">
      <w:start w:val="1"/>
      <w:numFmt w:val="bullet"/>
      <w:lvlText w:val=""/>
      <w:lvlJc w:val="left"/>
      <w:pPr>
        <w:ind w:left="720" w:hanging="360"/>
      </w:pPr>
      <w:rPr>
        <w:rFonts w:ascii="Symbol" w:hAnsi="Symbol" w:hint="default"/>
        <w:color w:val="595959" w:themeColor="text1" w:themeTint="A6"/>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54192"/>
    <w:multiLevelType w:val="hybridMultilevel"/>
    <w:tmpl w:val="880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D4D0B"/>
    <w:multiLevelType w:val="multilevel"/>
    <w:tmpl w:val="E070EB2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907611"/>
    <w:multiLevelType w:val="hybridMultilevel"/>
    <w:tmpl w:val="63EA5C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4D3CE2"/>
    <w:multiLevelType w:val="hybridMultilevel"/>
    <w:tmpl w:val="BCD245EC"/>
    <w:lvl w:ilvl="0" w:tplc="54188CCE">
      <w:start w:val="1"/>
      <w:numFmt w:val="bullet"/>
      <w:lvlText w:val=""/>
      <w:lvlJc w:val="left"/>
      <w:pPr>
        <w:ind w:left="788" w:hanging="360"/>
      </w:pPr>
      <w:rPr>
        <w:rFonts w:ascii="Symbol" w:hAnsi="Symbol" w:hint="default"/>
        <w:color w:val="auto"/>
        <w:sz w:val="22"/>
        <w:szCs w:val="22"/>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6" w15:restartNumberingAfterBreak="0">
    <w:nsid w:val="171F2845"/>
    <w:multiLevelType w:val="hybridMultilevel"/>
    <w:tmpl w:val="41F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D682B"/>
    <w:multiLevelType w:val="hybridMultilevel"/>
    <w:tmpl w:val="26A03004"/>
    <w:lvl w:ilvl="0" w:tplc="968A9CC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91A3CED"/>
    <w:multiLevelType w:val="hybridMultilevel"/>
    <w:tmpl w:val="90E8ABC6"/>
    <w:lvl w:ilvl="0" w:tplc="5AC2312E">
      <w:start w:val="1"/>
      <w:numFmt w:val="decimal"/>
      <w:lvlText w:val="%1."/>
      <w:lvlJc w:val="left"/>
      <w:pPr>
        <w:ind w:left="1080" w:hanging="360"/>
      </w:pPr>
      <w:rPr>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D666C"/>
    <w:multiLevelType w:val="hybridMultilevel"/>
    <w:tmpl w:val="0D9EE9F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2B703B8"/>
    <w:multiLevelType w:val="hybridMultilevel"/>
    <w:tmpl w:val="BE50B7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7AC27A1"/>
    <w:multiLevelType w:val="hybridMultilevel"/>
    <w:tmpl w:val="174E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9358E"/>
    <w:multiLevelType w:val="hybridMultilevel"/>
    <w:tmpl w:val="AB86C7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236C17"/>
    <w:multiLevelType w:val="hybridMultilevel"/>
    <w:tmpl w:val="200E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956B5"/>
    <w:multiLevelType w:val="hybridMultilevel"/>
    <w:tmpl w:val="EF9A84A6"/>
    <w:lvl w:ilvl="0" w:tplc="E62CBF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F4B3A"/>
    <w:multiLevelType w:val="hybridMultilevel"/>
    <w:tmpl w:val="43AC8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602D5F"/>
    <w:multiLevelType w:val="hybridMultilevel"/>
    <w:tmpl w:val="6330B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A6D6B"/>
    <w:multiLevelType w:val="hybridMultilevel"/>
    <w:tmpl w:val="C85AC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501CBC"/>
    <w:multiLevelType w:val="hybridMultilevel"/>
    <w:tmpl w:val="17BE1644"/>
    <w:lvl w:ilvl="0" w:tplc="E62CBF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55154"/>
    <w:multiLevelType w:val="hybridMultilevel"/>
    <w:tmpl w:val="DC040532"/>
    <w:lvl w:ilvl="0" w:tplc="BC5CB64C">
      <w:start w:val="1"/>
      <w:numFmt w:val="bullet"/>
      <w:lvlText w:val=""/>
      <w:lvlJc w:val="left"/>
      <w:pPr>
        <w:ind w:left="720" w:hanging="360"/>
      </w:pPr>
      <w:rPr>
        <w:rFonts w:ascii="Symbol" w:hAnsi="Symbol" w:hint="default"/>
        <w:color w:val="595959" w:themeColor="text1" w:themeTint="A6"/>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B21C8E"/>
    <w:multiLevelType w:val="hybridMultilevel"/>
    <w:tmpl w:val="4A12E3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E215F3"/>
    <w:multiLevelType w:val="hybridMultilevel"/>
    <w:tmpl w:val="4F74A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1596308"/>
    <w:multiLevelType w:val="hybridMultilevel"/>
    <w:tmpl w:val="CCF2D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1ED1FBC"/>
    <w:multiLevelType w:val="hybridMultilevel"/>
    <w:tmpl w:val="6FC8E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8F6C58"/>
    <w:multiLevelType w:val="hybridMultilevel"/>
    <w:tmpl w:val="7518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20E05"/>
    <w:multiLevelType w:val="hybridMultilevel"/>
    <w:tmpl w:val="EBB05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F41D0"/>
    <w:multiLevelType w:val="hybridMultilevel"/>
    <w:tmpl w:val="09D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60AD0"/>
    <w:multiLevelType w:val="multilevel"/>
    <w:tmpl w:val="FF446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FB5099"/>
    <w:multiLevelType w:val="multilevel"/>
    <w:tmpl w:val="630E7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AB7D22"/>
    <w:multiLevelType w:val="hybridMultilevel"/>
    <w:tmpl w:val="B6A4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60138E"/>
    <w:multiLevelType w:val="hybridMultilevel"/>
    <w:tmpl w:val="FC2CD654"/>
    <w:lvl w:ilvl="0" w:tplc="DB142810">
      <w:start w:val="1"/>
      <w:numFmt w:val="bullet"/>
      <w:lvlText w:val=""/>
      <w:lvlJc w:val="left"/>
      <w:pPr>
        <w:ind w:left="360" w:hanging="360"/>
      </w:pPr>
      <w:rPr>
        <w:rFonts w:ascii="Symbol" w:hAnsi="Symbol" w:hint="default"/>
        <w:color w:val="595959" w:themeColor="text1" w:themeTint="A6"/>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E166441"/>
    <w:multiLevelType w:val="hybridMultilevel"/>
    <w:tmpl w:val="B6EE4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5"/>
  </w:num>
  <w:num w:numId="5">
    <w:abstractNumId w:val="4"/>
  </w:num>
  <w:num w:numId="6">
    <w:abstractNumId w:val="20"/>
  </w:num>
  <w:num w:numId="7">
    <w:abstractNumId w:val="5"/>
  </w:num>
  <w:num w:numId="8">
    <w:abstractNumId w:val="30"/>
  </w:num>
  <w:num w:numId="9">
    <w:abstractNumId w:val="6"/>
  </w:num>
  <w:num w:numId="10">
    <w:abstractNumId w:val="15"/>
  </w:num>
  <w:num w:numId="11">
    <w:abstractNumId w:val="19"/>
  </w:num>
  <w:num w:numId="12">
    <w:abstractNumId w:val="21"/>
  </w:num>
  <w:num w:numId="13">
    <w:abstractNumId w:val="21"/>
  </w:num>
  <w:num w:numId="14">
    <w:abstractNumId w:val="9"/>
  </w:num>
  <w:num w:numId="15">
    <w:abstractNumId w:val="1"/>
  </w:num>
  <w:num w:numId="16">
    <w:abstractNumId w:val="10"/>
  </w:num>
  <w:num w:numId="17">
    <w:abstractNumId w:val="16"/>
  </w:num>
  <w:num w:numId="18">
    <w:abstractNumId w:val="24"/>
  </w:num>
  <w:num w:numId="19">
    <w:abstractNumId w:val="31"/>
  </w:num>
  <w:num w:numId="20">
    <w:abstractNumId w:val="11"/>
  </w:num>
  <w:num w:numId="21">
    <w:abstractNumId w:val="13"/>
  </w:num>
  <w:num w:numId="22">
    <w:abstractNumId w:val="2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23"/>
  </w:num>
  <w:num w:numId="27">
    <w:abstractNumId w:val="0"/>
  </w:num>
  <w:num w:numId="28">
    <w:abstractNumId w:val="12"/>
  </w:num>
  <w:num w:numId="29">
    <w:abstractNumId w:val="17"/>
  </w:num>
  <w:num w:numId="30">
    <w:abstractNumId w:val="26"/>
  </w:num>
  <w:num w:numId="31">
    <w:abstractNumId w:val="14"/>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NTO3MDEwMzMyMTJS0lEKTi0uzszPAykwNKgFAM4EpsQtAAAA"/>
  </w:docVars>
  <w:rsids>
    <w:rsidRoot w:val="0077224C"/>
    <w:rsid w:val="00007A27"/>
    <w:rsid w:val="00037F92"/>
    <w:rsid w:val="000533D6"/>
    <w:rsid w:val="000647D0"/>
    <w:rsid w:val="00092864"/>
    <w:rsid w:val="000D2D70"/>
    <w:rsid w:val="000D3DA0"/>
    <w:rsid w:val="00100132"/>
    <w:rsid w:val="00142453"/>
    <w:rsid w:val="00147A59"/>
    <w:rsid w:val="001865CE"/>
    <w:rsid w:val="001B72E9"/>
    <w:rsid w:val="001F79A2"/>
    <w:rsid w:val="00242C29"/>
    <w:rsid w:val="0026294D"/>
    <w:rsid w:val="002E326D"/>
    <w:rsid w:val="003077CD"/>
    <w:rsid w:val="00371F9C"/>
    <w:rsid w:val="00391B1F"/>
    <w:rsid w:val="003C04F2"/>
    <w:rsid w:val="00435270"/>
    <w:rsid w:val="00576127"/>
    <w:rsid w:val="00576B6E"/>
    <w:rsid w:val="005F49D5"/>
    <w:rsid w:val="00633A7B"/>
    <w:rsid w:val="00657631"/>
    <w:rsid w:val="0066765D"/>
    <w:rsid w:val="00685719"/>
    <w:rsid w:val="006F74F5"/>
    <w:rsid w:val="007044CA"/>
    <w:rsid w:val="0070535F"/>
    <w:rsid w:val="0077224C"/>
    <w:rsid w:val="007B2C5D"/>
    <w:rsid w:val="00821FA6"/>
    <w:rsid w:val="00830CBA"/>
    <w:rsid w:val="00884C3D"/>
    <w:rsid w:val="00894E32"/>
    <w:rsid w:val="008B152F"/>
    <w:rsid w:val="008B7755"/>
    <w:rsid w:val="008D1205"/>
    <w:rsid w:val="008E61B7"/>
    <w:rsid w:val="008F7ECC"/>
    <w:rsid w:val="00900C50"/>
    <w:rsid w:val="00996D92"/>
    <w:rsid w:val="00AA3C62"/>
    <w:rsid w:val="00B603F3"/>
    <w:rsid w:val="00B92331"/>
    <w:rsid w:val="00BA5386"/>
    <w:rsid w:val="00BC0F5C"/>
    <w:rsid w:val="00BD3AC4"/>
    <w:rsid w:val="00C26650"/>
    <w:rsid w:val="00C519F8"/>
    <w:rsid w:val="00C604A7"/>
    <w:rsid w:val="00CC02BE"/>
    <w:rsid w:val="00CC7D1D"/>
    <w:rsid w:val="00D01CFD"/>
    <w:rsid w:val="00D531E8"/>
    <w:rsid w:val="00D95CF8"/>
    <w:rsid w:val="00D96613"/>
    <w:rsid w:val="00DD68DF"/>
    <w:rsid w:val="00DF5D1D"/>
    <w:rsid w:val="00E77D23"/>
    <w:rsid w:val="00EB7334"/>
    <w:rsid w:val="00F6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7659"/>
  <w15:chartTrackingRefBased/>
  <w15:docId w15:val="{8C1FDF80-4598-44A0-BFA9-2E8900F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E IR - Mark Wickersham"/>
    <w:qFormat/>
    <w:rsid w:val="003C04F2"/>
    <w:pPr>
      <w:spacing w:after="0" w:line="240" w:lineRule="auto"/>
      <w:jc w:val="both"/>
    </w:pPr>
    <w:rPr>
      <w:rFonts w:ascii="Helvetica" w:hAnsi="Helvetica"/>
      <w:szCs w:val="24"/>
      <w:lang w:eastAsia="en-GB"/>
    </w:rPr>
  </w:style>
  <w:style w:type="paragraph" w:styleId="Heading1">
    <w:name w:val="heading 1"/>
    <w:basedOn w:val="Normal"/>
    <w:next w:val="Normal"/>
    <w:link w:val="Heading1Char"/>
    <w:qFormat/>
    <w:rsid w:val="00BA5386"/>
    <w:pPr>
      <w:autoSpaceDE w:val="0"/>
      <w:autoSpaceDN w:val="0"/>
      <w:adjustRightInd w:val="0"/>
      <w:outlineLvl w:val="0"/>
    </w:pPr>
    <w:rPr>
      <w:rFonts w:ascii="Arial" w:hAnsi="Arial" w:cs="Arial"/>
      <w:b/>
      <w:color w:val="FFC000"/>
      <w:sz w:val="32"/>
      <w:szCs w:val="44"/>
      <w:lang w:val="en-US" w:eastAsia="ko-KR"/>
    </w:rPr>
  </w:style>
  <w:style w:type="paragraph" w:styleId="Heading2">
    <w:name w:val="heading 2"/>
    <w:basedOn w:val="Normal"/>
    <w:next w:val="Normal"/>
    <w:link w:val="Heading2Char"/>
    <w:qFormat/>
    <w:rsid w:val="00BA5386"/>
    <w:pPr>
      <w:autoSpaceDE w:val="0"/>
      <w:autoSpaceDN w:val="0"/>
      <w:adjustRightInd w:val="0"/>
      <w:ind w:left="270" w:hanging="270"/>
      <w:outlineLvl w:val="1"/>
    </w:pPr>
    <w:rPr>
      <w:rFonts w:ascii="Arial" w:hAnsi="Arial" w:cs="Arial"/>
      <w:b/>
      <w:color w:val="FFC000"/>
      <w:sz w:val="26"/>
      <w:szCs w:val="32"/>
      <w:lang w:val="en-US" w:eastAsia="ko-KR"/>
    </w:rPr>
  </w:style>
  <w:style w:type="paragraph" w:styleId="Heading3">
    <w:name w:val="heading 3"/>
    <w:basedOn w:val="Normal"/>
    <w:next w:val="Normal"/>
    <w:link w:val="Heading3Char"/>
    <w:qFormat/>
    <w:rsid w:val="00576127"/>
    <w:pPr>
      <w:autoSpaceDE w:val="0"/>
      <w:autoSpaceDN w:val="0"/>
      <w:adjustRightInd w:val="0"/>
      <w:ind w:left="225" w:hanging="225"/>
      <w:jc w:val="left"/>
      <w:outlineLvl w:val="2"/>
    </w:pPr>
    <w:rPr>
      <w:rFonts w:cs="Arial"/>
      <w:b/>
      <w:szCs w:val="28"/>
      <w:lang w:val="en-US" w:eastAsia="ko-KR"/>
    </w:rPr>
  </w:style>
  <w:style w:type="paragraph" w:styleId="Heading4">
    <w:name w:val="heading 4"/>
    <w:basedOn w:val="Normal"/>
    <w:next w:val="Normal"/>
    <w:link w:val="Heading4Char"/>
    <w:uiPriority w:val="9"/>
    <w:semiHidden/>
    <w:unhideWhenUsed/>
    <w:qFormat/>
    <w:rsid w:val="003C04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386"/>
    <w:rPr>
      <w:rFonts w:ascii="Arial" w:hAnsi="Arial" w:cs="Arial"/>
      <w:b/>
      <w:color w:val="FFC000"/>
      <w:sz w:val="32"/>
      <w:szCs w:val="44"/>
      <w:lang w:val="en-US" w:eastAsia="ko-KR"/>
    </w:rPr>
  </w:style>
  <w:style w:type="character" w:customStyle="1" w:styleId="Heading2Char">
    <w:name w:val="Heading 2 Char"/>
    <w:basedOn w:val="DefaultParagraphFont"/>
    <w:link w:val="Heading2"/>
    <w:rsid w:val="00BA5386"/>
    <w:rPr>
      <w:rFonts w:ascii="Arial" w:hAnsi="Arial" w:cs="Arial"/>
      <w:b/>
      <w:color w:val="FFC000"/>
      <w:sz w:val="26"/>
      <w:szCs w:val="32"/>
      <w:lang w:val="en-US" w:eastAsia="ko-KR"/>
    </w:rPr>
  </w:style>
  <w:style w:type="paragraph" w:customStyle="1" w:styleId="Bullet">
    <w:name w:val="Bullet"/>
    <w:basedOn w:val="NoSpacing"/>
    <w:link w:val="BulletChar"/>
    <w:qFormat/>
    <w:rsid w:val="00391B1F"/>
    <w:pPr>
      <w:numPr>
        <w:numId w:val="2"/>
      </w:numPr>
      <w:spacing w:before="120" w:after="120"/>
      <w:ind w:left="360" w:hanging="360"/>
      <w:jc w:val="left"/>
    </w:pPr>
    <w:rPr>
      <w:rFonts w:asciiTheme="minorHAnsi" w:hAnsiTheme="minorHAnsi"/>
      <w:szCs w:val="22"/>
      <w:lang w:eastAsia="en-US"/>
    </w:rPr>
  </w:style>
  <w:style w:type="character" w:customStyle="1" w:styleId="BulletChar">
    <w:name w:val="Bullet Char"/>
    <w:aliases w:val="List Paragraph Char"/>
    <w:basedOn w:val="DefaultParagraphFont"/>
    <w:link w:val="Bullet"/>
    <w:locked/>
    <w:rsid w:val="00391B1F"/>
  </w:style>
  <w:style w:type="paragraph" w:styleId="NoSpacing">
    <w:name w:val="No Spacing"/>
    <w:uiPriority w:val="1"/>
    <w:qFormat/>
    <w:rsid w:val="00391B1F"/>
    <w:pPr>
      <w:spacing w:after="0" w:line="240" w:lineRule="auto"/>
      <w:jc w:val="both"/>
    </w:pPr>
    <w:rPr>
      <w:rFonts w:ascii="Helvetica" w:hAnsi="Helvetica"/>
      <w:szCs w:val="24"/>
      <w:lang w:eastAsia="en-GB"/>
    </w:rPr>
  </w:style>
  <w:style w:type="table" w:styleId="GridTable7Colorful-Accent1">
    <w:name w:val="Grid Table 7 Colorful Accent 1"/>
    <w:basedOn w:val="TableNormal"/>
    <w:uiPriority w:val="52"/>
    <w:rsid w:val="00391B1F"/>
    <w:pPr>
      <w:spacing w:after="0" w:line="240" w:lineRule="auto"/>
    </w:pPr>
    <w:rPr>
      <w:rFonts w:eastAsiaTheme="minorEastAsia"/>
      <w:color w:val="FFC000"/>
      <w:sz w:val="24"/>
      <w:szCs w:val="24"/>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3Char">
    <w:name w:val="Heading 3 Char"/>
    <w:basedOn w:val="DefaultParagraphFont"/>
    <w:link w:val="Heading3"/>
    <w:uiPriority w:val="9"/>
    <w:rsid w:val="00576127"/>
    <w:rPr>
      <w:rFonts w:ascii="Helvetica" w:hAnsi="Helvetica" w:cs="Arial"/>
      <w:b/>
      <w:szCs w:val="28"/>
      <w:lang w:val="en-US" w:eastAsia="ko-KR"/>
    </w:rPr>
  </w:style>
  <w:style w:type="paragraph" w:customStyle="1" w:styleId="bV">
    <w:name w:val="bV"/>
    <w:basedOn w:val="Normal"/>
    <w:link w:val="bVChar"/>
    <w:qFormat/>
    <w:rsid w:val="00884C3D"/>
  </w:style>
  <w:style w:type="character" w:customStyle="1" w:styleId="bVChar">
    <w:name w:val="bV Char"/>
    <w:basedOn w:val="DefaultParagraphFont"/>
    <w:link w:val="bV"/>
    <w:rsid w:val="00884C3D"/>
    <w:rPr>
      <w:rFonts w:ascii="Helvetica" w:hAnsi="Helvetica"/>
      <w:szCs w:val="24"/>
      <w:lang w:eastAsia="en-GB"/>
    </w:rPr>
  </w:style>
  <w:style w:type="table" w:styleId="TableGrid">
    <w:name w:val="Table Grid"/>
    <w:basedOn w:val="TableNormal"/>
    <w:uiPriority w:val="39"/>
    <w:rsid w:val="0077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24C"/>
    <w:pPr>
      <w:spacing w:before="120" w:after="240"/>
      <w:ind w:left="720"/>
      <w:contextualSpacing/>
      <w:jc w:val="left"/>
    </w:pPr>
    <w:rPr>
      <w:rFonts w:asciiTheme="minorHAnsi" w:eastAsiaTheme="minorHAnsi" w:hAnsiTheme="minorHAnsi"/>
      <w:szCs w:val="22"/>
      <w:lang w:val="en-NZ" w:eastAsia="en-US"/>
    </w:rPr>
  </w:style>
  <w:style w:type="character" w:customStyle="1" w:styleId="Heading4Char">
    <w:name w:val="Heading 4 Char"/>
    <w:basedOn w:val="DefaultParagraphFont"/>
    <w:link w:val="Heading4"/>
    <w:uiPriority w:val="9"/>
    <w:semiHidden/>
    <w:rsid w:val="003C04F2"/>
    <w:rPr>
      <w:rFonts w:asciiTheme="majorHAnsi" w:eastAsiaTheme="majorEastAsia" w:hAnsiTheme="majorHAnsi" w:cstheme="majorBidi"/>
      <w:i/>
      <w:iCs/>
      <w:color w:val="2E74B5" w:themeColor="accent1" w:themeShade="BF"/>
      <w:szCs w:val="24"/>
      <w:lang w:eastAsia="en-GB"/>
    </w:rPr>
  </w:style>
  <w:style w:type="character" w:styleId="PlaceholderText">
    <w:name w:val="Placeholder Text"/>
    <w:basedOn w:val="DefaultParagraphFont"/>
    <w:uiPriority w:val="99"/>
    <w:semiHidden/>
    <w:rsid w:val="003C04F2"/>
  </w:style>
  <w:style w:type="character" w:styleId="Hyperlink">
    <w:name w:val="Hyperlink"/>
    <w:basedOn w:val="DefaultParagraphFont"/>
    <w:uiPriority w:val="99"/>
    <w:unhideWhenUsed/>
    <w:rsid w:val="003C04F2"/>
    <w:rPr>
      <w:color w:val="0563C1" w:themeColor="hyperlink"/>
      <w:u w:val="single"/>
    </w:rPr>
  </w:style>
  <w:style w:type="paragraph" w:styleId="BalloonText">
    <w:name w:val="Balloon Text"/>
    <w:basedOn w:val="Normal"/>
    <w:link w:val="BalloonTextChar"/>
    <w:uiPriority w:val="99"/>
    <w:semiHidden/>
    <w:unhideWhenUsed/>
    <w:rsid w:val="008F7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CC"/>
    <w:rPr>
      <w:rFonts w:ascii="Segoe UI" w:hAnsi="Segoe UI" w:cs="Segoe UI"/>
      <w:sz w:val="18"/>
      <w:szCs w:val="18"/>
      <w:lang w:eastAsia="en-GB"/>
    </w:rPr>
  </w:style>
  <w:style w:type="paragraph" w:customStyle="1" w:styleId="Covertitle">
    <w:name w:val="Cover title"/>
    <w:basedOn w:val="Normal"/>
    <w:rsid w:val="008D1205"/>
    <w:pPr>
      <w:jc w:val="right"/>
    </w:pPr>
    <w:rPr>
      <w:rFonts w:asciiTheme="minorHAnsi" w:eastAsiaTheme="minorEastAsia" w:hAnsiTheme="minorHAnsi"/>
      <w:color w:val="5B9BD5" w:themeColor="accent1"/>
      <w:sz w:val="64"/>
      <w:szCs w:val="64"/>
      <w:lang w:val="en-US" w:eastAsia="en-US"/>
    </w:rPr>
  </w:style>
  <w:style w:type="paragraph" w:customStyle="1" w:styleId="Coversubtitle">
    <w:name w:val="Cover subtitle"/>
    <w:basedOn w:val="Normal"/>
    <w:qFormat/>
    <w:rsid w:val="008D1205"/>
    <w:pPr>
      <w:jc w:val="right"/>
    </w:pPr>
    <w:rPr>
      <w:rFonts w:asciiTheme="minorHAnsi" w:eastAsiaTheme="minorEastAsia" w:hAnsiTheme="minorHAnsi"/>
      <w:color w:val="000000" w:themeColor="text1"/>
      <w:sz w:val="40"/>
      <w:szCs w:val="64"/>
      <w:lang w:val="en-US" w:eastAsia="en-US"/>
    </w:rPr>
  </w:style>
  <w:style w:type="paragraph" w:styleId="NormalWeb">
    <w:name w:val="Normal (Web)"/>
    <w:basedOn w:val="Normal"/>
    <w:uiPriority w:val="99"/>
    <w:semiHidden/>
    <w:unhideWhenUsed/>
    <w:rsid w:val="00D96613"/>
    <w:pPr>
      <w:spacing w:before="100" w:beforeAutospacing="1" w:after="100" w:afterAutospacing="1"/>
      <w:jc w:val="left"/>
    </w:pPr>
    <w:rPr>
      <w:rFonts w:ascii="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3066">
      <w:bodyDiv w:val="1"/>
      <w:marLeft w:val="0"/>
      <w:marRight w:val="0"/>
      <w:marTop w:val="0"/>
      <w:marBottom w:val="0"/>
      <w:divBdr>
        <w:top w:val="none" w:sz="0" w:space="0" w:color="auto"/>
        <w:left w:val="none" w:sz="0" w:space="0" w:color="auto"/>
        <w:bottom w:val="none" w:sz="0" w:space="0" w:color="auto"/>
        <w:right w:val="none" w:sz="0" w:space="0" w:color="auto"/>
      </w:divBdr>
    </w:div>
    <w:div w:id="124352798">
      <w:bodyDiv w:val="1"/>
      <w:marLeft w:val="0"/>
      <w:marRight w:val="0"/>
      <w:marTop w:val="0"/>
      <w:marBottom w:val="0"/>
      <w:divBdr>
        <w:top w:val="none" w:sz="0" w:space="0" w:color="auto"/>
        <w:left w:val="none" w:sz="0" w:space="0" w:color="auto"/>
        <w:bottom w:val="none" w:sz="0" w:space="0" w:color="auto"/>
        <w:right w:val="none" w:sz="0" w:space="0" w:color="auto"/>
      </w:divBdr>
    </w:div>
    <w:div w:id="560679061">
      <w:bodyDiv w:val="1"/>
      <w:marLeft w:val="0"/>
      <w:marRight w:val="0"/>
      <w:marTop w:val="0"/>
      <w:marBottom w:val="0"/>
      <w:divBdr>
        <w:top w:val="none" w:sz="0" w:space="0" w:color="auto"/>
        <w:left w:val="none" w:sz="0" w:space="0" w:color="auto"/>
        <w:bottom w:val="none" w:sz="0" w:space="0" w:color="auto"/>
        <w:right w:val="none" w:sz="0" w:space="0" w:color="auto"/>
      </w:divBdr>
    </w:div>
    <w:div w:id="623314066">
      <w:bodyDiv w:val="1"/>
      <w:marLeft w:val="0"/>
      <w:marRight w:val="0"/>
      <w:marTop w:val="0"/>
      <w:marBottom w:val="0"/>
      <w:divBdr>
        <w:top w:val="none" w:sz="0" w:space="0" w:color="auto"/>
        <w:left w:val="none" w:sz="0" w:space="0" w:color="auto"/>
        <w:bottom w:val="none" w:sz="0" w:space="0" w:color="auto"/>
        <w:right w:val="none" w:sz="0" w:space="0" w:color="auto"/>
      </w:divBdr>
    </w:div>
    <w:div w:id="634260942">
      <w:bodyDiv w:val="1"/>
      <w:marLeft w:val="0"/>
      <w:marRight w:val="0"/>
      <w:marTop w:val="0"/>
      <w:marBottom w:val="0"/>
      <w:divBdr>
        <w:top w:val="none" w:sz="0" w:space="0" w:color="auto"/>
        <w:left w:val="none" w:sz="0" w:space="0" w:color="auto"/>
        <w:bottom w:val="none" w:sz="0" w:space="0" w:color="auto"/>
        <w:right w:val="none" w:sz="0" w:space="0" w:color="auto"/>
      </w:divBdr>
    </w:div>
    <w:div w:id="673458731">
      <w:bodyDiv w:val="1"/>
      <w:marLeft w:val="0"/>
      <w:marRight w:val="0"/>
      <w:marTop w:val="0"/>
      <w:marBottom w:val="0"/>
      <w:divBdr>
        <w:top w:val="none" w:sz="0" w:space="0" w:color="auto"/>
        <w:left w:val="none" w:sz="0" w:space="0" w:color="auto"/>
        <w:bottom w:val="none" w:sz="0" w:space="0" w:color="auto"/>
        <w:right w:val="none" w:sz="0" w:space="0" w:color="auto"/>
      </w:divBdr>
    </w:div>
    <w:div w:id="696470772">
      <w:bodyDiv w:val="1"/>
      <w:marLeft w:val="0"/>
      <w:marRight w:val="0"/>
      <w:marTop w:val="0"/>
      <w:marBottom w:val="0"/>
      <w:divBdr>
        <w:top w:val="none" w:sz="0" w:space="0" w:color="auto"/>
        <w:left w:val="none" w:sz="0" w:space="0" w:color="auto"/>
        <w:bottom w:val="none" w:sz="0" w:space="0" w:color="auto"/>
        <w:right w:val="none" w:sz="0" w:space="0" w:color="auto"/>
      </w:divBdr>
    </w:div>
    <w:div w:id="727074089">
      <w:bodyDiv w:val="1"/>
      <w:marLeft w:val="0"/>
      <w:marRight w:val="0"/>
      <w:marTop w:val="0"/>
      <w:marBottom w:val="0"/>
      <w:divBdr>
        <w:top w:val="none" w:sz="0" w:space="0" w:color="auto"/>
        <w:left w:val="none" w:sz="0" w:space="0" w:color="auto"/>
        <w:bottom w:val="none" w:sz="0" w:space="0" w:color="auto"/>
        <w:right w:val="none" w:sz="0" w:space="0" w:color="auto"/>
      </w:divBdr>
    </w:div>
    <w:div w:id="793641682">
      <w:bodyDiv w:val="1"/>
      <w:marLeft w:val="0"/>
      <w:marRight w:val="0"/>
      <w:marTop w:val="0"/>
      <w:marBottom w:val="0"/>
      <w:divBdr>
        <w:top w:val="none" w:sz="0" w:space="0" w:color="auto"/>
        <w:left w:val="none" w:sz="0" w:space="0" w:color="auto"/>
        <w:bottom w:val="none" w:sz="0" w:space="0" w:color="auto"/>
        <w:right w:val="none" w:sz="0" w:space="0" w:color="auto"/>
      </w:divBdr>
    </w:div>
    <w:div w:id="952253287">
      <w:bodyDiv w:val="1"/>
      <w:marLeft w:val="0"/>
      <w:marRight w:val="0"/>
      <w:marTop w:val="0"/>
      <w:marBottom w:val="0"/>
      <w:divBdr>
        <w:top w:val="none" w:sz="0" w:space="0" w:color="auto"/>
        <w:left w:val="none" w:sz="0" w:space="0" w:color="auto"/>
        <w:bottom w:val="none" w:sz="0" w:space="0" w:color="auto"/>
        <w:right w:val="none" w:sz="0" w:space="0" w:color="auto"/>
      </w:divBdr>
    </w:div>
    <w:div w:id="1011177444">
      <w:bodyDiv w:val="1"/>
      <w:marLeft w:val="0"/>
      <w:marRight w:val="0"/>
      <w:marTop w:val="0"/>
      <w:marBottom w:val="0"/>
      <w:divBdr>
        <w:top w:val="none" w:sz="0" w:space="0" w:color="auto"/>
        <w:left w:val="none" w:sz="0" w:space="0" w:color="auto"/>
        <w:bottom w:val="none" w:sz="0" w:space="0" w:color="auto"/>
        <w:right w:val="none" w:sz="0" w:space="0" w:color="auto"/>
      </w:divBdr>
    </w:div>
    <w:div w:id="1186555625">
      <w:bodyDiv w:val="1"/>
      <w:marLeft w:val="0"/>
      <w:marRight w:val="0"/>
      <w:marTop w:val="0"/>
      <w:marBottom w:val="0"/>
      <w:divBdr>
        <w:top w:val="none" w:sz="0" w:space="0" w:color="auto"/>
        <w:left w:val="none" w:sz="0" w:space="0" w:color="auto"/>
        <w:bottom w:val="none" w:sz="0" w:space="0" w:color="auto"/>
        <w:right w:val="none" w:sz="0" w:space="0" w:color="auto"/>
      </w:divBdr>
    </w:div>
    <w:div w:id="1297877364">
      <w:bodyDiv w:val="1"/>
      <w:marLeft w:val="0"/>
      <w:marRight w:val="0"/>
      <w:marTop w:val="0"/>
      <w:marBottom w:val="0"/>
      <w:divBdr>
        <w:top w:val="none" w:sz="0" w:space="0" w:color="auto"/>
        <w:left w:val="none" w:sz="0" w:space="0" w:color="auto"/>
        <w:bottom w:val="none" w:sz="0" w:space="0" w:color="auto"/>
        <w:right w:val="none" w:sz="0" w:space="0" w:color="auto"/>
      </w:divBdr>
    </w:div>
    <w:div w:id="1333337304">
      <w:bodyDiv w:val="1"/>
      <w:marLeft w:val="0"/>
      <w:marRight w:val="0"/>
      <w:marTop w:val="0"/>
      <w:marBottom w:val="0"/>
      <w:divBdr>
        <w:top w:val="none" w:sz="0" w:space="0" w:color="auto"/>
        <w:left w:val="none" w:sz="0" w:space="0" w:color="auto"/>
        <w:bottom w:val="none" w:sz="0" w:space="0" w:color="auto"/>
        <w:right w:val="none" w:sz="0" w:space="0" w:color="auto"/>
      </w:divBdr>
    </w:div>
    <w:div w:id="1418863838">
      <w:bodyDiv w:val="1"/>
      <w:marLeft w:val="0"/>
      <w:marRight w:val="0"/>
      <w:marTop w:val="0"/>
      <w:marBottom w:val="0"/>
      <w:divBdr>
        <w:top w:val="none" w:sz="0" w:space="0" w:color="auto"/>
        <w:left w:val="none" w:sz="0" w:space="0" w:color="auto"/>
        <w:bottom w:val="none" w:sz="0" w:space="0" w:color="auto"/>
        <w:right w:val="none" w:sz="0" w:space="0" w:color="auto"/>
      </w:divBdr>
    </w:div>
    <w:div w:id="1639408129">
      <w:bodyDiv w:val="1"/>
      <w:marLeft w:val="0"/>
      <w:marRight w:val="0"/>
      <w:marTop w:val="0"/>
      <w:marBottom w:val="0"/>
      <w:divBdr>
        <w:top w:val="none" w:sz="0" w:space="0" w:color="auto"/>
        <w:left w:val="none" w:sz="0" w:space="0" w:color="auto"/>
        <w:bottom w:val="none" w:sz="0" w:space="0" w:color="auto"/>
        <w:right w:val="none" w:sz="0" w:space="0" w:color="auto"/>
      </w:divBdr>
    </w:div>
    <w:div w:id="1828401950">
      <w:bodyDiv w:val="1"/>
      <w:marLeft w:val="0"/>
      <w:marRight w:val="0"/>
      <w:marTop w:val="0"/>
      <w:marBottom w:val="0"/>
      <w:divBdr>
        <w:top w:val="none" w:sz="0" w:space="0" w:color="auto"/>
        <w:left w:val="none" w:sz="0" w:space="0" w:color="auto"/>
        <w:bottom w:val="none" w:sz="0" w:space="0" w:color="auto"/>
        <w:right w:val="none" w:sz="0" w:space="0" w:color="auto"/>
      </w:divBdr>
    </w:div>
    <w:div w:id="1837334454">
      <w:bodyDiv w:val="1"/>
      <w:marLeft w:val="0"/>
      <w:marRight w:val="0"/>
      <w:marTop w:val="0"/>
      <w:marBottom w:val="0"/>
      <w:divBdr>
        <w:top w:val="none" w:sz="0" w:space="0" w:color="auto"/>
        <w:left w:val="none" w:sz="0" w:space="0" w:color="auto"/>
        <w:bottom w:val="none" w:sz="0" w:space="0" w:color="auto"/>
        <w:right w:val="none" w:sz="0" w:space="0" w:color="auto"/>
      </w:divBdr>
    </w:div>
    <w:div w:id="1857964580">
      <w:bodyDiv w:val="1"/>
      <w:marLeft w:val="0"/>
      <w:marRight w:val="0"/>
      <w:marTop w:val="0"/>
      <w:marBottom w:val="0"/>
      <w:divBdr>
        <w:top w:val="none" w:sz="0" w:space="0" w:color="auto"/>
        <w:left w:val="none" w:sz="0" w:space="0" w:color="auto"/>
        <w:bottom w:val="none" w:sz="0" w:space="0" w:color="auto"/>
        <w:right w:val="none" w:sz="0" w:space="0" w:color="auto"/>
      </w:divBdr>
    </w:div>
    <w:div w:id="18939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1711</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If you cannot pay your July instalment</vt:lpstr>
      <vt:lpstr/>
      <vt:lpstr>Penalties and interest for late payment</vt:lpstr>
      <vt:lpstr/>
      <vt:lpstr>Please call if:</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businessVision</dc:creator>
  <cp:keywords/>
  <dc:description/>
  <cp:lastModifiedBy>Louise Mack</cp:lastModifiedBy>
  <cp:revision>2</cp:revision>
  <cp:lastPrinted>2021-04-19T08:23:00Z</cp:lastPrinted>
  <dcterms:created xsi:type="dcterms:W3CDTF">2021-10-05T13:14:00Z</dcterms:created>
  <dcterms:modified xsi:type="dcterms:W3CDTF">2021-10-05T13:14:00Z</dcterms:modified>
</cp:coreProperties>
</file>