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6B665" w14:textId="77777777" w:rsidR="00922BF5" w:rsidRPr="00AA569C" w:rsidRDefault="00922BF5" w:rsidP="00A66ABA">
      <w:pPr>
        <w:ind w:hanging="709"/>
        <w:jc w:val="center"/>
        <w:rPr>
          <w:lang w:val="en-GB"/>
        </w:rPr>
      </w:pPr>
    </w:p>
    <w:p w14:paraId="583115FC" w14:textId="5698B0DC" w:rsidR="0078158B" w:rsidRDefault="0078158B" w:rsidP="0078158B">
      <w:pPr>
        <w:rPr>
          <w:color w:val="595959" w:themeColor="text1" w:themeTint="A6"/>
          <w:sz w:val="22"/>
        </w:rPr>
      </w:pPr>
      <w:r>
        <w:rPr>
          <w:color w:val="595959" w:themeColor="text1" w:themeTint="A6"/>
          <w:sz w:val="22"/>
        </w:rPr>
        <w:t>Written 2</w:t>
      </w:r>
      <w:r w:rsidR="007A263F">
        <w:rPr>
          <w:color w:val="595959" w:themeColor="text1" w:themeTint="A6"/>
          <w:sz w:val="22"/>
        </w:rPr>
        <w:t>9</w:t>
      </w:r>
      <w:r>
        <w:rPr>
          <w:color w:val="595959" w:themeColor="text1" w:themeTint="A6"/>
          <w:sz w:val="22"/>
        </w:rPr>
        <w:t xml:space="preserve"> April 2020</w:t>
      </w:r>
    </w:p>
    <w:p w14:paraId="6E253A56" w14:textId="77777777" w:rsidR="0078158B" w:rsidRDefault="0078158B" w:rsidP="0078158B">
      <w:pPr>
        <w:spacing w:line="320" w:lineRule="exact"/>
        <w:rPr>
          <w:color w:val="595959" w:themeColor="text1" w:themeTint="A6"/>
          <w:sz w:val="22"/>
        </w:rPr>
      </w:pPr>
    </w:p>
    <w:p w14:paraId="253BF49F" w14:textId="77777777" w:rsidR="0078158B" w:rsidRDefault="0078158B" w:rsidP="0078158B">
      <w:pPr>
        <w:spacing w:line="320" w:lineRule="exact"/>
        <w:rPr>
          <w:color w:val="595959" w:themeColor="text1" w:themeTint="A6"/>
          <w:sz w:val="22"/>
        </w:rPr>
      </w:pPr>
      <w:r w:rsidRPr="0028698F">
        <w:rPr>
          <w:color w:val="595959" w:themeColor="text1" w:themeTint="A6"/>
          <w:sz w:val="22"/>
        </w:rPr>
        <w:t>Edit and use as appropriate.</w:t>
      </w:r>
    </w:p>
    <w:p w14:paraId="401CEE45" w14:textId="77777777" w:rsidR="0078158B" w:rsidRDefault="0078158B" w:rsidP="00B00F50">
      <w:pPr>
        <w:rPr>
          <w:rFonts w:cs="Arial"/>
          <w:b/>
          <w:bCs/>
          <w:color w:val="015F87"/>
          <w:sz w:val="28"/>
        </w:rPr>
      </w:pPr>
    </w:p>
    <w:p w14:paraId="0B21C9C4" w14:textId="34A94098" w:rsidR="002403D7" w:rsidRDefault="007A263F" w:rsidP="002403D7">
      <w:pPr>
        <w:spacing w:before="60" w:line="300" w:lineRule="exact"/>
        <w:rPr>
          <w:rFonts w:cs="Arial"/>
          <w:b/>
          <w:bCs/>
          <w:color w:val="015F87"/>
          <w:sz w:val="28"/>
        </w:rPr>
      </w:pPr>
      <w:bookmarkStart w:id="0" w:name="_GoBack"/>
      <w:r w:rsidRPr="007A263F">
        <w:rPr>
          <w:rFonts w:cs="Arial"/>
          <w:b/>
          <w:bCs/>
          <w:color w:val="015F87"/>
          <w:sz w:val="28"/>
        </w:rPr>
        <w:t>England - Financial Support For Education, Early Years And Children’s Social Care</w:t>
      </w:r>
    </w:p>
    <w:bookmarkEnd w:id="0"/>
    <w:p w14:paraId="539754CB" w14:textId="77777777" w:rsidR="007A263F" w:rsidRPr="002403D7" w:rsidRDefault="007A263F" w:rsidP="002403D7">
      <w:pPr>
        <w:spacing w:before="60" w:line="300" w:lineRule="exact"/>
        <w:rPr>
          <w:color w:val="7F7F7F" w:themeColor="text1" w:themeTint="80"/>
          <w:sz w:val="28"/>
          <w:szCs w:val="22"/>
        </w:rPr>
      </w:pPr>
    </w:p>
    <w:p w14:paraId="2CC23ADA" w14:textId="77777777" w:rsidR="007A263F" w:rsidRDefault="007A263F" w:rsidP="007A263F">
      <w:pPr>
        <w:spacing w:line="300" w:lineRule="exact"/>
        <w:rPr>
          <w:color w:val="7F7F7F" w:themeColor="text1" w:themeTint="80"/>
          <w:sz w:val="22"/>
        </w:rPr>
      </w:pPr>
      <w:r w:rsidRPr="007A263F">
        <w:rPr>
          <w:color w:val="7F7F7F" w:themeColor="text1" w:themeTint="80"/>
          <w:sz w:val="22"/>
        </w:rPr>
        <w:t>This Government guidance sets out the financial support that is available for different types of education, early years and children’s social care providers in England. If you are not an education, early years and children’s social care provider in England, you should be able to get more information about the types of financial support available to you from other relevant government departments or devolved administrations.</w:t>
      </w:r>
    </w:p>
    <w:p w14:paraId="22771720" w14:textId="77777777" w:rsidR="007A263F" w:rsidRPr="007A263F" w:rsidRDefault="007A263F" w:rsidP="007A263F">
      <w:pPr>
        <w:spacing w:line="300" w:lineRule="exact"/>
        <w:rPr>
          <w:color w:val="7F7F7F" w:themeColor="text1" w:themeTint="80"/>
          <w:sz w:val="22"/>
        </w:rPr>
      </w:pPr>
    </w:p>
    <w:p w14:paraId="32588521" w14:textId="77777777" w:rsidR="007A263F" w:rsidRDefault="007A263F" w:rsidP="007A263F">
      <w:pPr>
        <w:spacing w:line="300" w:lineRule="exact"/>
        <w:rPr>
          <w:color w:val="7F7F7F" w:themeColor="text1" w:themeTint="80"/>
          <w:sz w:val="22"/>
        </w:rPr>
      </w:pPr>
      <w:r w:rsidRPr="007A263F">
        <w:rPr>
          <w:color w:val="7F7F7F" w:themeColor="text1" w:themeTint="80"/>
          <w:sz w:val="22"/>
        </w:rPr>
        <w:t>The guidance details the Funding and Support for businesses and outlines which options should be used including sector specific guidance for:</w:t>
      </w:r>
    </w:p>
    <w:p w14:paraId="4DBEED5B" w14:textId="77777777" w:rsidR="007A263F" w:rsidRPr="007A263F" w:rsidRDefault="007A263F" w:rsidP="007A263F">
      <w:pPr>
        <w:spacing w:line="300" w:lineRule="exact"/>
        <w:rPr>
          <w:color w:val="7F7F7F" w:themeColor="text1" w:themeTint="80"/>
          <w:sz w:val="22"/>
        </w:rPr>
      </w:pPr>
    </w:p>
    <w:p w14:paraId="08F804DB"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Early years</w:t>
      </w:r>
    </w:p>
    <w:p w14:paraId="2DDEEC13"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Children’s social care providers</w:t>
      </w:r>
    </w:p>
    <w:p w14:paraId="5C135650"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State-funded schools</w:t>
      </w:r>
    </w:p>
    <w:p w14:paraId="6CE32ADA"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Supply teachers and other contingent workers in state-funded schools</w:t>
      </w:r>
    </w:p>
    <w:p w14:paraId="61EFEDB2"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High needs funding</w:t>
      </w:r>
    </w:p>
    <w:p w14:paraId="4C7EB349"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Residential special schools</w:t>
      </w:r>
    </w:p>
    <w:p w14:paraId="33B0C765"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Mainstream independent schools</w:t>
      </w:r>
    </w:p>
    <w:p w14:paraId="1FDE394C"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Independent special schools</w:t>
      </w:r>
    </w:p>
    <w:p w14:paraId="2B48D6A7" w14:textId="77777777"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Further education and apprenticeships</w:t>
      </w:r>
    </w:p>
    <w:p w14:paraId="7DD9DC3A" w14:textId="77777777" w:rsid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Special post-16 institutions</w:t>
      </w:r>
    </w:p>
    <w:p w14:paraId="7FDB5ABA" w14:textId="29E29901" w:rsidR="007A263F" w:rsidRPr="007A263F" w:rsidRDefault="007A263F" w:rsidP="007A263F">
      <w:pPr>
        <w:pStyle w:val="ListParagraph"/>
        <w:numPr>
          <w:ilvl w:val="0"/>
          <w:numId w:val="28"/>
        </w:numPr>
        <w:spacing w:line="300" w:lineRule="exact"/>
        <w:rPr>
          <w:color w:val="7F7F7F" w:themeColor="text1" w:themeTint="80"/>
          <w:sz w:val="22"/>
        </w:rPr>
      </w:pPr>
      <w:r w:rsidRPr="007A263F">
        <w:rPr>
          <w:color w:val="7F7F7F" w:themeColor="text1" w:themeTint="80"/>
          <w:sz w:val="22"/>
        </w:rPr>
        <w:t>Higher Education</w:t>
      </w:r>
    </w:p>
    <w:p w14:paraId="75147F9F" w14:textId="77777777" w:rsidR="007A263F" w:rsidRDefault="007A263F" w:rsidP="007A263F">
      <w:pPr>
        <w:spacing w:line="300" w:lineRule="exact"/>
        <w:rPr>
          <w:color w:val="7F7F7F" w:themeColor="text1" w:themeTint="80"/>
          <w:sz w:val="22"/>
        </w:rPr>
      </w:pPr>
    </w:p>
    <w:p w14:paraId="1D34949F" w14:textId="77777777" w:rsidR="007A263F" w:rsidRDefault="007A263F" w:rsidP="007A263F">
      <w:pPr>
        <w:spacing w:line="300" w:lineRule="exact"/>
        <w:rPr>
          <w:color w:val="7F7F7F" w:themeColor="text1" w:themeTint="80"/>
          <w:sz w:val="22"/>
        </w:rPr>
      </w:pPr>
      <w:r w:rsidRPr="007A263F">
        <w:rPr>
          <w:color w:val="7F7F7F" w:themeColor="text1" w:themeTint="80"/>
          <w:sz w:val="22"/>
        </w:rPr>
        <w:t>The Guidance states that no organisation should profit from the exceptional financial support available and should therefore only access the support required. For example, organisations which continue to receive government funding should not furlough staff whose salaries that funding could typically be considered to fund, and therefore will not need to access the Coronavirus Job Retention Scheme (CJRS).</w:t>
      </w:r>
    </w:p>
    <w:p w14:paraId="2E70E2CF" w14:textId="77777777" w:rsidR="007A263F" w:rsidRPr="007A263F" w:rsidRDefault="007A263F" w:rsidP="007A263F">
      <w:pPr>
        <w:spacing w:line="300" w:lineRule="exact"/>
        <w:rPr>
          <w:color w:val="7F7F7F" w:themeColor="text1" w:themeTint="80"/>
          <w:sz w:val="22"/>
        </w:rPr>
      </w:pPr>
    </w:p>
    <w:p w14:paraId="053665C4" w14:textId="77777777" w:rsidR="007A263F" w:rsidRDefault="007A263F" w:rsidP="007A263F">
      <w:pPr>
        <w:spacing w:line="300" w:lineRule="exact"/>
        <w:rPr>
          <w:color w:val="7F7F7F" w:themeColor="text1" w:themeTint="80"/>
          <w:sz w:val="22"/>
        </w:rPr>
      </w:pPr>
      <w:r w:rsidRPr="007A263F">
        <w:rPr>
          <w:color w:val="7F7F7F" w:themeColor="text1" w:themeTint="80"/>
          <w:sz w:val="22"/>
        </w:rPr>
        <w:t>All organisations are expected to have adequate and effective governance arrangements and controls in place to ensure public funding is spent effectively and appropriately.</w:t>
      </w:r>
    </w:p>
    <w:p w14:paraId="3BB9F657" w14:textId="77777777" w:rsidR="007A263F" w:rsidRPr="007A263F" w:rsidRDefault="007A263F" w:rsidP="007A263F">
      <w:pPr>
        <w:spacing w:line="300" w:lineRule="exact"/>
        <w:rPr>
          <w:color w:val="7F7F7F" w:themeColor="text1" w:themeTint="80"/>
          <w:sz w:val="22"/>
        </w:rPr>
      </w:pPr>
    </w:p>
    <w:p w14:paraId="12EAC70E" w14:textId="1DF928DA" w:rsidR="007A263F" w:rsidRPr="007A263F" w:rsidRDefault="007A263F" w:rsidP="007A263F">
      <w:pPr>
        <w:spacing w:line="300" w:lineRule="exact"/>
        <w:rPr>
          <w:color w:val="015F87"/>
          <w:sz w:val="22"/>
        </w:rPr>
      </w:pPr>
      <w:r w:rsidRPr="007A263F">
        <w:rPr>
          <w:color w:val="015F87"/>
          <w:sz w:val="22"/>
        </w:rPr>
        <w:t xml:space="preserve">For the full guidance please see: </w:t>
      </w:r>
      <w:hyperlink r:id="rId8" w:history="1">
        <w:r w:rsidRPr="007A263F">
          <w:rPr>
            <w:rStyle w:val="Hyperlink"/>
            <w:color w:val="015F87"/>
            <w:sz w:val="22"/>
          </w:rPr>
          <w:t>https://www.gov.uk/government/publications/coronavirus-covid-19-financial-support-for-education-early-years-and-childrens-social-care/coronavirus-covid-19-financial-support-for-education-early-years-and-childrens-social-care</w:t>
        </w:r>
      </w:hyperlink>
    </w:p>
    <w:p w14:paraId="682C4AF5" w14:textId="77777777" w:rsidR="007A263F" w:rsidRPr="007A263F" w:rsidRDefault="007A263F" w:rsidP="007A263F">
      <w:pPr>
        <w:spacing w:line="300" w:lineRule="exact"/>
        <w:rPr>
          <w:color w:val="7F7F7F" w:themeColor="text1" w:themeTint="80"/>
          <w:sz w:val="22"/>
        </w:rPr>
      </w:pPr>
    </w:p>
    <w:p w14:paraId="53E31610" w14:textId="77777777" w:rsidR="007A263F" w:rsidRPr="007A263F" w:rsidRDefault="007A263F" w:rsidP="007A263F">
      <w:pPr>
        <w:spacing w:line="300" w:lineRule="exact"/>
        <w:rPr>
          <w:color w:val="7F7F7F" w:themeColor="text1" w:themeTint="80"/>
          <w:sz w:val="22"/>
        </w:rPr>
      </w:pPr>
    </w:p>
    <w:p w14:paraId="49D24392" w14:textId="77777777" w:rsidR="007A263F" w:rsidRPr="007A263F" w:rsidRDefault="007A263F" w:rsidP="007A263F">
      <w:pPr>
        <w:spacing w:line="300" w:lineRule="exact"/>
        <w:rPr>
          <w:color w:val="7F7F7F" w:themeColor="text1" w:themeTint="80"/>
          <w:sz w:val="22"/>
        </w:rPr>
      </w:pPr>
      <w:r w:rsidRPr="007A263F">
        <w:rPr>
          <w:color w:val="7F7F7F" w:themeColor="text1" w:themeTint="80"/>
          <w:sz w:val="22"/>
        </w:rPr>
        <w:t xml:space="preserve"> </w:t>
      </w:r>
    </w:p>
    <w:p w14:paraId="5F9DF124" w14:textId="68AC1583" w:rsidR="00C22E54" w:rsidRPr="00C22E54" w:rsidRDefault="00C22E54" w:rsidP="007A263F">
      <w:pPr>
        <w:spacing w:line="300" w:lineRule="exact"/>
        <w:rPr>
          <w:noProof/>
          <w:sz w:val="22"/>
          <w:szCs w:val="22"/>
        </w:rPr>
      </w:pPr>
    </w:p>
    <w:sectPr w:rsidR="00C22E54" w:rsidRPr="00C22E54" w:rsidSect="00DF51FC">
      <w:headerReference w:type="default" r:id="rId9"/>
      <w:footerReference w:type="default" r:id="rId10"/>
      <w:pgSz w:w="11906" w:h="16838"/>
      <w:pgMar w:top="1670" w:right="991" w:bottom="993" w:left="1560"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32472" w14:textId="77777777" w:rsidR="00C92090" w:rsidRDefault="00C92090" w:rsidP="006B4690">
      <w:r>
        <w:separator/>
      </w:r>
    </w:p>
  </w:endnote>
  <w:endnote w:type="continuationSeparator" w:id="0">
    <w:p w14:paraId="5C3DF4F8" w14:textId="77777777" w:rsidR="00C92090" w:rsidRDefault="00C92090"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83761"/>
      <w:docPartObj>
        <w:docPartGallery w:val="Page Numbers (Bottom of Page)"/>
        <w:docPartUnique/>
      </w:docPartObj>
    </w:sdtPr>
    <w:sdtEndPr>
      <w:rPr>
        <w:rFonts w:ascii="Arial" w:hAnsi="Arial" w:cs="Arial"/>
        <w:noProof/>
        <w:color w:val="595959" w:themeColor="text1" w:themeTint="A6"/>
        <w:sz w:val="18"/>
        <w:szCs w:val="18"/>
      </w:rPr>
    </w:sdtEndPr>
    <w:sdtContent>
      <w:p w14:paraId="5EC57894" w14:textId="25870CEB" w:rsidR="00F465AB" w:rsidRPr="00843AAF" w:rsidRDefault="00F465AB" w:rsidP="0016585D">
        <w:pPr>
          <w:pStyle w:val="Footer"/>
          <w:tabs>
            <w:tab w:val="right" w:pos="9639"/>
          </w:tabs>
          <w:ind w:right="-897" w:hanging="709"/>
        </w:pPr>
        <w:r w:rsidRPr="000A7756">
          <w:rPr>
            <w:noProof/>
            <w:sz w:val="18"/>
            <w:szCs w:val="18"/>
            <w:lang w:eastAsia="en-GB"/>
          </w:rPr>
          <mc:AlternateContent>
            <mc:Choice Requires="wps">
              <w:drawing>
                <wp:anchor distT="0" distB="0" distL="114300" distR="114300" simplePos="0" relativeHeight="251667456" behindDoc="0" locked="0" layoutInCell="1" allowOverlap="1" wp14:anchorId="1AF9801B" wp14:editId="70B448A6">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A1AE6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" strokecolor="#5a5a5a [2109]" strokeweight=".5pt">
                  <w10:wrap type="tight"/>
                </v:line>
              </w:pict>
            </mc:Fallback>
          </mc:AlternateContent>
        </w:r>
        <w:r>
          <w:tab/>
        </w:r>
        <w:r>
          <w:rPr>
            <w:color w:val="595959" w:themeColor="text1" w:themeTint="A6"/>
            <w:sz w:val="18"/>
            <w:szCs w:val="18"/>
          </w:rPr>
          <w:tab/>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sidR="007A263F">
          <w:rPr>
            <w:rFonts w:ascii="Arial" w:hAnsi="Arial" w:cs="Arial"/>
            <w:noProof/>
            <w:color w:val="595959" w:themeColor="text1" w:themeTint="A6"/>
            <w:sz w:val="18"/>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 xml:space="preserve">   </w:t>
        </w:r>
        <w:r w:rsidRPr="000A7756">
          <w:rPr>
            <w:rFonts w:ascii="Arial" w:hAnsi="Arial" w:cs="Arial"/>
            <w:noProof/>
            <w:color w:val="595959" w:themeColor="text1" w:themeTint="A6"/>
            <w:sz w:val="18"/>
            <w:szCs w:val="18"/>
          </w:rPr>
          <w:tab/>
        </w:r>
      </w:p>
    </w:sdtContent>
  </w:sdt>
  <w:p w14:paraId="58AFA00E" w14:textId="77777777" w:rsidR="00F465AB" w:rsidRDefault="00F4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13C3" w14:textId="77777777" w:rsidR="00C92090" w:rsidRDefault="00C92090" w:rsidP="006B4690">
      <w:r>
        <w:separator/>
      </w:r>
    </w:p>
  </w:footnote>
  <w:footnote w:type="continuationSeparator" w:id="0">
    <w:p w14:paraId="741E75ED" w14:textId="77777777" w:rsidR="00C92090" w:rsidRDefault="00C92090" w:rsidP="006B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4F71" w14:textId="23446049" w:rsidR="00F465AB" w:rsidRDefault="00F465AB">
    <w:pPr>
      <w:pStyle w:val="Header"/>
    </w:pPr>
    <w:r>
      <w:rPr>
        <w:noProof/>
        <w:lang w:eastAsia="en-GB"/>
      </w:rPr>
      <mc:AlternateContent>
        <mc:Choice Requires="wps">
          <w:drawing>
            <wp:anchor distT="0" distB="0" distL="114300" distR="114300" simplePos="0" relativeHeight="251663360" behindDoc="0" locked="0" layoutInCell="1" allowOverlap="1" wp14:anchorId="79E81CF0" wp14:editId="58BFC902">
              <wp:simplePos x="0" y="0"/>
              <wp:positionH relativeFrom="column">
                <wp:posOffset>-472440</wp:posOffset>
              </wp:positionH>
              <wp:positionV relativeFrom="paragraph">
                <wp:posOffset>505460</wp:posOffset>
              </wp:positionV>
              <wp:extent cx="6543675" cy="0"/>
              <wp:effectExtent l="0" t="0" r="9525" b="19050"/>
              <wp:wrapTight wrapText="bothSides">
                <wp:wrapPolygon edited="0">
                  <wp:start x="0" y="-1"/>
                  <wp:lineTo x="0" y="-1"/>
                  <wp:lineTo x="21569" y="-1"/>
                  <wp:lineTo x="21569" y="-1"/>
                  <wp:lineTo x="0" y="-1"/>
                </wp:wrapPolygon>
              </wp:wrapTight>
              <wp:docPr id="46" name="Straight Connector 46"/>
              <wp:cNvGraphicFramePr/>
              <a:graphic xmlns:a="http://schemas.openxmlformats.org/drawingml/2006/main">
                <a:graphicData uri="http://schemas.microsoft.com/office/word/2010/wordprocessingShape">
                  <wps:wsp>
                    <wps:cNvCnPr/>
                    <wps:spPr>
                      <a:xfrm>
                        <a:off x="0" y="0"/>
                        <a:ext cx="654367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7D9BC"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39.8pt" to="478.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" strokecolor="#5a5a5a [2109]"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0FB0"/>
    <w:multiLevelType w:val="hybridMultilevel"/>
    <w:tmpl w:val="EC6CB0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C0092F"/>
    <w:multiLevelType w:val="hybridMultilevel"/>
    <w:tmpl w:val="E35A8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73A0"/>
    <w:multiLevelType w:val="hybridMultilevel"/>
    <w:tmpl w:val="106AF5AE"/>
    <w:lvl w:ilvl="0" w:tplc="BF50DA7C">
      <w:start w:val="1"/>
      <w:numFmt w:val="bullet"/>
      <w:lvlText w:val="•"/>
      <w:lvlJc w:val="left"/>
      <w:pPr>
        <w:tabs>
          <w:tab w:val="num" w:pos="720"/>
        </w:tabs>
        <w:ind w:left="720" w:hanging="360"/>
      </w:pPr>
      <w:rPr>
        <w:rFonts w:ascii="Arial" w:hAnsi="Arial" w:hint="default"/>
      </w:rPr>
    </w:lvl>
    <w:lvl w:ilvl="1" w:tplc="7F3A4BF6" w:tentative="1">
      <w:start w:val="1"/>
      <w:numFmt w:val="bullet"/>
      <w:lvlText w:val="•"/>
      <w:lvlJc w:val="left"/>
      <w:pPr>
        <w:tabs>
          <w:tab w:val="num" w:pos="1440"/>
        </w:tabs>
        <w:ind w:left="1440" w:hanging="360"/>
      </w:pPr>
      <w:rPr>
        <w:rFonts w:ascii="Arial" w:hAnsi="Arial" w:hint="default"/>
      </w:rPr>
    </w:lvl>
    <w:lvl w:ilvl="2" w:tplc="9A4E1CBC" w:tentative="1">
      <w:start w:val="1"/>
      <w:numFmt w:val="bullet"/>
      <w:lvlText w:val="•"/>
      <w:lvlJc w:val="left"/>
      <w:pPr>
        <w:tabs>
          <w:tab w:val="num" w:pos="2160"/>
        </w:tabs>
        <w:ind w:left="2160" w:hanging="360"/>
      </w:pPr>
      <w:rPr>
        <w:rFonts w:ascii="Arial" w:hAnsi="Arial" w:hint="default"/>
      </w:rPr>
    </w:lvl>
    <w:lvl w:ilvl="3" w:tplc="C2246590" w:tentative="1">
      <w:start w:val="1"/>
      <w:numFmt w:val="bullet"/>
      <w:lvlText w:val="•"/>
      <w:lvlJc w:val="left"/>
      <w:pPr>
        <w:tabs>
          <w:tab w:val="num" w:pos="2880"/>
        </w:tabs>
        <w:ind w:left="2880" w:hanging="360"/>
      </w:pPr>
      <w:rPr>
        <w:rFonts w:ascii="Arial" w:hAnsi="Arial" w:hint="default"/>
      </w:rPr>
    </w:lvl>
    <w:lvl w:ilvl="4" w:tplc="9B1041FE" w:tentative="1">
      <w:start w:val="1"/>
      <w:numFmt w:val="bullet"/>
      <w:lvlText w:val="•"/>
      <w:lvlJc w:val="left"/>
      <w:pPr>
        <w:tabs>
          <w:tab w:val="num" w:pos="3600"/>
        </w:tabs>
        <w:ind w:left="3600" w:hanging="360"/>
      </w:pPr>
      <w:rPr>
        <w:rFonts w:ascii="Arial" w:hAnsi="Arial" w:hint="default"/>
      </w:rPr>
    </w:lvl>
    <w:lvl w:ilvl="5" w:tplc="F83A94C2" w:tentative="1">
      <w:start w:val="1"/>
      <w:numFmt w:val="bullet"/>
      <w:lvlText w:val="•"/>
      <w:lvlJc w:val="left"/>
      <w:pPr>
        <w:tabs>
          <w:tab w:val="num" w:pos="4320"/>
        </w:tabs>
        <w:ind w:left="4320" w:hanging="360"/>
      </w:pPr>
      <w:rPr>
        <w:rFonts w:ascii="Arial" w:hAnsi="Arial" w:hint="default"/>
      </w:rPr>
    </w:lvl>
    <w:lvl w:ilvl="6" w:tplc="54CA412E" w:tentative="1">
      <w:start w:val="1"/>
      <w:numFmt w:val="bullet"/>
      <w:lvlText w:val="•"/>
      <w:lvlJc w:val="left"/>
      <w:pPr>
        <w:tabs>
          <w:tab w:val="num" w:pos="5040"/>
        </w:tabs>
        <w:ind w:left="5040" w:hanging="360"/>
      </w:pPr>
      <w:rPr>
        <w:rFonts w:ascii="Arial" w:hAnsi="Arial" w:hint="default"/>
      </w:rPr>
    </w:lvl>
    <w:lvl w:ilvl="7" w:tplc="F2228790" w:tentative="1">
      <w:start w:val="1"/>
      <w:numFmt w:val="bullet"/>
      <w:lvlText w:val="•"/>
      <w:lvlJc w:val="left"/>
      <w:pPr>
        <w:tabs>
          <w:tab w:val="num" w:pos="5760"/>
        </w:tabs>
        <w:ind w:left="5760" w:hanging="360"/>
      </w:pPr>
      <w:rPr>
        <w:rFonts w:ascii="Arial" w:hAnsi="Arial" w:hint="default"/>
      </w:rPr>
    </w:lvl>
    <w:lvl w:ilvl="8" w:tplc="244A9D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6769A1"/>
    <w:multiLevelType w:val="hybridMultilevel"/>
    <w:tmpl w:val="3372F27C"/>
    <w:lvl w:ilvl="0" w:tplc="3F18071E">
      <w:start w:val="1"/>
      <w:numFmt w:val="bullet"/>
      <w:lvlText w:val="•"/>
      <w:lvlJc w:val="left"/>
      <w:pPr>
        <w:tabs>
          <w:tab w:val="num" w:pos="720"/>
        </w:tabs>
        <w:ind w:left="720" w:hanging="360"/>
      </w:pPr>
      <w:rPr>
        <w:rFonts w:ascii="Arial" w:hAnsi="Arial" w:hint="default"/>
      </w:rPr>
    </w:lvl>
    <w:lvl w:ilvl="1" w:tplc="56A2EFA2" w:tentative="1">
      <w:start w:val="1"/>
      <w:numFmt w:val="bullet"/>
      <w:lvlText w:val="•"/>
      <w:lvlJc w:val="left"/>
      <w:pPr>
        <w:tabs>
          <w:tab w:val="num" w:pos="1440"/>
        </w:tabs>
        <w:ind w:left="1440" w:hanging="360"/>
      </w:pPr>
      <w:rPr>
        <w:rFonts w:ascii="Arial" w:hAnsi="Arial" w:hint="default"/>
      </w:rPr>
    </w:lvl>
    <w:lvl w:ilvl="2" w:tplc="DD6E84AC" w:tentative="1">
      <w:start w:val="1"/>
      <w:numFmt w:val="bullet"/>
      <w:lvlText w:val="•"/>
      <w:lvlJc w:val="left"/>
      <w:pPr>
        <w:tabs>
          <w:tab w:val="num" w:pos="2160"/>
        </w:tabs>
        <w:ind w:left="2160" w:hanging="360"/>
      </w:pPr>
      <w:rPr>
        <w:rFonts w:ascii="Arial" w:hAnsi="Arial" w:hint="default"/>
      </w:rPr>
    </w:lvl>
    <w:lvl w:ilvl="3" w:tplc="31423202" w:tentative="1">
      <w:start w:val="1"/>
      <w:numFmt w:val="bullet"/>
      <w:lvlText w:val="•"/>
      <w:lvlJc w:val="left"/>
      <w:pPr>
        <w:tabs>
          <w:tab w:val="num" w:pos="2880"/>
        </w:tabs>
        <w:ind w:left="2880" w:hanging="360"/>
      </w:pPr>
      <w:rPr>
        <w:rFonts w:ascii="Arial" w:hAnsi="Arial" w:hint="default"/>
      </w:rPr>
    </w:lvl>
    <w:lvl w:ilvl="4" w:tplc="0422D5D8" w:tentative="1">
      <w:start w:val="1"/>
      <w:numFmt w:val="bullet"/>
      <w:lvlText w:val="•"/>
      <w:lvlJc w:val="left"/>
      <w:pPr>
        <w:tabs>
          <w:tab w:val="num" w:pos="3600"/>
        </w:tabs>
        <w:ind w:left="3600" w:hanging="360"/>
      </w:pPr>
      <w:rPr>
        <w:rFonts w:ascii="Arial" w:hAnsi="Arial" w:hint="default"/>
      </w:rPr>
    </w:lvl>
    <w:lvl w:ilvl="5" w:tplc="3CD63776" w:tentative="1">
      <w:start w:val="1"/>
      <w:numFmt w:val="bullet"/>
      <w:lvlText w:val="•"/>
      <w:lvlJc w:val="left"/>
      <w:pPr>
        <w:tabs>
          <w:tab w:val="num" w:pos="4320"/>
        </w:tabs>
        <w:ind w:left="4320" w:hanging="360"/>
      </w:pPr>
      <w:rPr>
        <w:rFonts w:ascii="Arial" w:hAnsi="Arial" w:hint="default"/>
      </w:rPr>
    </w:lvl>
    <w:lvl w:ilvl="6" w:tplc="22E071A6" w:tentative="1">
      <w:start w:val="1"/>
      <w:numFmt w:val="bullet"/>
      <w:lvlText w:val="•"/>
      <w:lvlJc w:val="left"/>
      <w:pPr>
        <w:tabs>
          <w:tab w:val="num" w:pos="5040"/>
        </w:tabs>
        <w:ind w:left="5040" w:hanging="360"/>
      </w:pPr>
      <w:rPr>
        <w:rFonts w:ascii="Arial" w:hAnsi="Arial" w:hint="default"/>
      </w:rPr>
    </w:lvl>
    <w:lvl w:ilvl="7" w:tplc="5DBEA8F4" w:tentative="1">
      <w:start w:val="1"/>
      <w:numFmt w:val="bullet"/>
      <w:lvlText w:val="•"/>
      <w:lvlJc w:val="left"/>
      <w:pPr>
        <w:tabs>
          <w:tab w:val="num" w:pos="5760"/>
        </w:tabs>
        <w:ind w:left="5760" w:hanging="360"/>
      </w:pPr>
      <w:rPr>
        <w:rFonts w:ascii="Arial" w:hAnsi="Arial" w:hint="default"/>
      </w:rPr>
    </w:lvl>
    <w:lvl w:ilvl="8" w:tplc="4BF8CB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91615"/>
    <w:multiLevelType w:val="hybridMultilevel"/>
    <w:tmpl w:val="C6F2DD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A55245"/>
    <w:multiLevelType w:val="hybridMultilevel"/>
    <w:tmpl w:val="F140EF54"/>
    <w:lvl w:ilvl="0" w:tplc="FD2297B4">
      <w:start w:val="1"/>
      <w:numFmt w:val="bullet"/>
      <w:lvlText w:val="•"/>
      <w:lvlJc w:val="left"/>
      <w:pPr>
        <w:tabs>
          <w:tab w:val="num" w:pos="720"/>
        </w:tabs>
        <w:ind w:left="720" w:hanging="360"/>
      </w:pPr>
      <w:rPr>
        <w:rFonts w:ascii="Arial" w:hAnsi="Arial" w:hint="default"/>
      </w:rPr>
    </w:lvl>
    <w:lvl w:ilvl="1" w:tplc="802A70E0" w:tentative="1">
      <w:start w:val="1"/>
      <w:numFmt w:val="bullet"/>
      <w:lvlText w:val="•"/>
      <w:lvlJc w:val="left"/>
      <w:pPr>
        <w:tabs>
          <w:tab w:val="num" w:pos="1440"/>
        </w:tabs>
        <w:ind w:left="1440" w:hanging="360"/>
      </w:pPr>
      <w:rPr>
        <w:rFonts w:ascii="Arial" w:hAnsi="Arial" w:hint="default"/>
      </w:rPr>
    </w:lvl>
    <w:lvl w:ilvl="2" w:tplc="E3DAB3CA" w:tentative="1">
      <w:start w:val="1"/>
      <w:numFmt w:val="bullet"/>
      <w:lvlText w:val="•"/>
      <w:lvlJc w:val="left"/>
      <w:pPr>
        <w:tabs>
          <w:tab w:val="num" w:pos="2160"/>
        </w:tabs>
        <w:ind w:left="2160" w:hanging="360"/>
      </w:pPr>
      <w:rPr>
        <w:rFonts w:ascii="Arial" w:hAnsi="Arial" w:hint="default"/>
      </w:rPr>
    </w:lvl>
    <w:lvl w:ilvl="3" w:tplc="F934E432" w:tentative="1">
      <w:start w:val="1"/>
      <w:numFmt w:val="bullet"/>
      <w:lvlText w:val="•"/>
      <w:lvlJc w:val="left"/>
      <w:pPr>
        <w:tabs>
          <w:tab w:val="num" w:pos="2880"/>
        </w:tabs>
        <w:ind w:left="2880" w:hanging="360"/>
      </w:pPr>
      <w:rPr>
        <w:rFonts w:ascii="Arial" w:hAnsi="Arial" w:hint="default"/>
      </w:rPr>
    </w:lvl>
    <w:lvl w:ilvl="4" w:tplc="F45876CA" w:tentative="1">
      <w:start w:val="1"/>
      <w:numFmt w:val="bullet"/>
      <w:lvlText w:val="•"/>
      <w:lvlJc w:val="left"/>
      <w:pPr>
        <w:tabs>
          <w:tab w:val="num" w:pos="3600"/>
        </w:tabs>
        <w:ind w:left="3600" w:hanging="360"/>
      </w:pPr>
      <w:rPr>
        <w:rFonts w:ascii="Arial" w:hAnsi="Arial" w:hint="default"/>
      </w:rPr>
    </w:lvl>
    <w:lvl w:ilvl="5" w:tplc="92E26106" w:tentative="1">
      <w:start w:val="1"/>
      <w:numFmt w:val="bullet"/>
      <w:lvlText w:val="•"/>
      <w:lvlJc w:val="left"/>
      <w:pPr>
        <w:tabs>
          <w:tab w:val="num" w:pos="4320"/>
        </w:tabs>
        <w:ind w:left="4320" w:hanging="360"/>
      </w:pPr>
      <w:rPr>
        <w:rFonts w:ascii="Arial" w:hAnsi="Arial" w:hint="default"/>
      </w:rPr>
    </w:lvl>
    <w:lvl w:ilvl="6" w:tplc="B7061904" w:tentative="1">
      <w:start w:val="1"/>
      <w:numFmt w:val="bullet"/>
      <w:lvlText w:val="•"/>
      <w:lvlJc w:val="left"/>
      <w:pPr>
        <w:tabs>
          <w:tab w:val="num" w:pos="5040"/>
        </w:tabs>
        <w:ind w:left="5040" w:hanging="360"/>
      </w:pPr>
      <w:rPr>
        <w:rFonts w:ascii="Arial" w:hAnsi="Arial" w:hint="default"/>
      </w:rPr>
    </w:lvl>
    <w:lvl w:ilvl="7" w:tplc="F5EE656A" w:tentative="1">
      <w:start w:val="1"/>
      <w:numFmt w:val="bullet"/>
      <w:lvlText w:val="•"/>
      <w:lvlJc w:val="left"/>
      <w:pPr>
        <w:tabs>
          <w:tab w:val="num" w:pos="5760"/>
        </w:tabs>
        <w:ind w:left="5760" w:hanging="360"/>
      </w:pPr>
      <w:rPr>
        <w:rFonts w:ascii="Arial" w:hAnsi="Arial" w:hint="default"/>
      </w:rPr>
    </w:lvl>
    <w:lvl w:ilvl="8" w:tplc="F282F7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720AFB"/>
    <w:multiLevelType w:val="multilevel"/>
    <w:tmpl w:val="F768F084"/>
    <w:lvl w:ilvl="0">
      <w:numFmt w:val="bullet"/>
      <w:lvlText w:val="•"/>
      <w:lvlJc w:val="left"/>
      <w:pPr>
        <w:ind w:left="1440" w:hanging="360"/>
      </w:pPr>
      <w:rPr>
        <w:rFonts w:ascii="Calibri" w:hAnsi="Calibri" w:cstheme="minorBidi" w:hint="default"/>
        <w:color w:val="016187"/>
        <w:sz w:val="2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8242E86"/>
    <w:multiLevelType w:val="hybridMultilevel"/>
    <w:tmpl w:val="2964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27F61"/>
    <w:multiLevelType w:val="hybridMultilevel"/>
    <w:tmpl w:val="EFD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C2183"/>
    <w:multiLevelType w:val="hybridMultilevel"/>
    <w:tmpl w:val="93BAD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277A6"/>
    <w:multiLevelType w:val="hybridMultilevel"/>
    <w:tmpl w:val="C642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24BD9"/>
    <w:multiLevelType w:val="hybridMultilevel"/>
    <w:tmpl w:val="11E283BA"/>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C2447D"/>
    <w:multiLevelType w:val="hybridMultilevel"/>
    <w:tmpl w:val="27043F22"/>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E3E3E"/>
    <w:multiLevelType w:val="hybridMultilevel"/>
    <w:tmpl w:val="124EAB04"/>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91BCB"/>
    <w:multiLevelType w:val="hybridMultilevel"/>
    <w:tmpl w:val="E63077C8"/>
    <w:lvl w:ilvl="0" w:tplc="C7327798">
      <w:start w:val="1"/>
      <w:numFmt w:val="bullet"/>
      <w:lvlText w:val="•"/>
      <w:lvlJc w:val="left"/>
      <w:pPr>
        <w:tabs>
          <w:tab w:val="num" w:pos="720"/>
        </w:tabs>
        <w:ind w:left="720" w:hanging="360"/>
      </w:pPr>
      <w:rPr>
        <w:rFonts w:ascii="Arial" w:hAnsi="Arial" w:hint="default"/>
      </w:rPr>
    </w:lvl>
    <w:lvl w:ilvl="1" w:tplc="8530F072" w:tentative="1">
      <w:start w:val="1"/>
      <w:numFmt w:val="bullet"/>
      <w:lvlText w:val="•"/>
      <w:lvlJc w:val="left"/>
      <w:pPr>
        <w:tabs>
          <w:tab w:val="num" w:pos="1440"/>
        </w:tabs>
        <w:ind w:left="1440" w:hanging="360"/>
      </w:pPr>
      <w:rPr>
        <w:rFonts w:ascii="Arial" w:hAnsi="Arial" w:hint="default"/>
      </w:rPr>
    </w:lvl>
    <w:lvl w:ilvl="2" w:tplc="CB168BEA" w:tentative="1">
      <w:start w:val="1"/>
      <w:numFmt w:val="bullet"/>
      <w:lvlText w:val="•"/>
      <w:lvlJc w:val="left"/>
      <w:pPr>
        <w:tabs>
          <w:tab w:val="num" w:pos="2160"/>
        </w:tabs>
        <w:ind w:left="2160" w:hanging="360"/>
      </w:pPr>
      <w:rPr>
        <w:rFonts w:ascii="Arial" w:hAnsi="Arial" w:hint="default"/>
      </w:rPr>
    </w:lvl>
    <w:lvl w:ilvl="3" w:tplc="1FB011DA" w:tentative="1">
      <w:start w:val="1"/>
      <w:numFmt w:val="bullet"/>
      <w:lvlText w:val="•"/>
      <w:lvlJc w:val="left"/>
      <w:pPr>
        <w:tabs>
          <w:tab w:val="num" w:pos="2880"/>
        </w:tabs>
        <w:ind w:left="2880" w:hanging="360"/>
      </w:pPr>
      <w:rPr>
        <w:rFonts w:ascii="Arial" w:hAnsi="Arial" w:hint="default"/>
      </w:rPr>
    </w:lvl>
    <w:lvl w:ilvl="4" w:tplc="43CEA342" w:tentative="1">
      <w:start w:val="1"/>
      <w:numFmt w:val="bullet"/>
      <w:lvlText w:val="•"/>
      <w:lvlJc w:val="left"/>
      <w:pPr>
        <w:tabs>
          <w:tab w:val="num" w:pos="3600"/>
        </w:tabs>
        <w:ind w:left="3600" w:hanging="360"/>
      </w:pPr>
      <w:rPr>
        <w:rFonts w:ascii="Arial" w:hAnsi="Arial" w:hint="default"/>
      </w:rPr>
    </w:lvl>
    <w:lvl w:ilvl="5" w:tplc="BC96434A" w:tentative="1">
      <w:start w:val="1"/>
      <w:numFmt w:val="bullet"/>
      <w:lvlText w:val="•"/>
      <w:lvlJc w:val="left"/>
      <w:pPr>
        <w:tabs>
          <w:tab w:val="num" w:pos="4320"/>
        </w:tabs>
        <w:ind w:left="4320" w:hanging="360"/>
      </w:pPr>
      <w:rPr>
        <w:rFonts w:ascii="Arial" w:hAnsi="Arial" w:hint="default"/>
      </w:rPr>
    </w:lvl>
    <w:lvl w:ilvl="6" w:tplc="DBACDE50" w:tentative="1">
      <w:start w:val="1"/>
      <w:numFmt w:val="bullet"/>
      <w:lvlText w:val="•"/>
      <w:lvlJc w:val="left"/>
      <w:pPr>
        <w:tabs>
          <w:tab w:val="num" w:pos="5040"/>
        </w:tabs>
        <w:ind w:left="5040" w:hanging="360"/>
      </w:pPr>
      <w:rPr>
        <w:rFonts w:ascii="Arial" w:hAnsi="Arial" w:hint="default"/>
      </w:rPr>
    </w:lvl>
    <w:lvl w:ilvl="7" w:tplc="5E0C79BC" w:tentative="1">
      <w:start w:val="1"/>
      <w:numFmt w:val="bullet"/>
      <w:lvlText w:val="•"/>
      <w:lvlJc w:val="left"/>
      <w:pPr>
        <w:tabs>
          <w:tab w:val="num" w:pos="5760"/>
        </w:tabs>
        <w:ind w:left="5760" w:hanging="360"/>
      </w:pPr>
      <w:rPr>
        <w:rFonts w:ascii="Arial" w:hAnsi="Arial" w:hint="default"/>
      </w:rPr>
    </w:lvl>
    <w:lvl w:ilvl="8" w:tplc="971C75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EE015D"/>
    <w:multiLevelType w:val="hybridMultilevel"/>
    <w:tmpl w:val="A5FA05A8"/>
    <w:lvl w:ilvl="0" w:tplc="15C8167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27940"/>
    <w:multiLevelType w:val="hybridMultilevel"/>
    <w:tmpl w:val="9864A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75D0"/>
    <w:multiLevelType w:val="hybridMultilevel"/>
    <w:tmpl w:val="10CA6F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C64C2F"/>
    <w:multiLevelType w:val="hybridMultilevel"/>
    <w:tmpl w:val="1D7A19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757A94"/>
    <w:multiLevelType w:val="hybridMultilevel"/>
    <w:tmpl w:val="8B1A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1365B"/>
    <w:multiLevelType w:val="hybridMultilevel"/>
    <w:tmpl w:val="DAC081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476998"/>
    <w:multiLevelType w:val="hybridMultilevel"/>
    <w:tmpl w:val="8AAA1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F11D0"/>
    <w:multiLevelType w:val="hybridMultilevel"/>
    <w:tmpl w:val="F63E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64B14"/>
    <w:multiLevelType w:val="hybridMultilevel"/>
    <w:tmpl w:val="072209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37583F"/>
    <w:multiLevelType w:val="hybridMultilevel"/>
    <w:tmpl w:val="531A714C"/>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AD71FC"/>
    <w:multiLevelType w:val="hybridMultilevel"/>
    <w:tmpl w:val="57F0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3607E"/>
    <w:multiLevelType w:val="hybridMultilevel"/>
    <w:tmpl w:val="269EE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D2C52"/>
    <w:multiLevelType w:val="hybridMultilevel"/>
    <w:tmpl w:val="0C94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6"/>
  </w:num>
  <w:num w:numId="4">
    <w:abstractNumId w:val="9"/>
  </w:num>
  <w:num w:numId="5">
    <w:abstractNumId w:val="26"/>
  </w:num>
  <w:num w:numId="6">
    <w:abstractNumId w:val="1"/>
  </w:num>
  <w:num w:numId="7">
    <w:abstractNumId w:val="21"/>
  </w:num>
  <w:num w:numId="8">
    <w:abstractNumId w:val="27"/>
  </w:num>
  <w:num w:numId="9">
    <w:abstractNumId w:val="8"/>
  </w:num>
  <w:num w:numId="10">
    <w:abstractNumId w:val="10"/>
  </w:num>
  <w:num w:numId="11">
    <w:abstractNumId w:val="2"/>
  </w:num>
  <w:num w:numId="12">
    <w:abstractNumId w:val="3"/>
  </w:num>
  <w:num w:numId="13">
    <w:abstractNumId w:val="5"/>
  </w:num>
  <w:num w:numId="14">
    <w:abstractNumId w:val="14"/>
  </w:num>
  <w:num w:numId="15">
    <w:abstractNumId w:val="6"/>
  </w:num>
  <w:num w:numId="16">
    <w:abstractNumId w:val="25"/>
  </w:num>
  <w:num w:numId="17">
    <w:abstractNumId w:val="19"/>
  </w:num>
  <w:num w:numId="18">
    <w:abstractNumId w:val="0"/>
  </w:num>
  <w:num w:numId="19">
    <w:abstractNumId w:val="18"/>
  </w:num>
  <w:num w:numId="20">
    <w:abstractNumId w:val="23"/>
  </w:num>
  <w:num w:numId="21">
    <w:abstractNumId w:val="4"/>
  </w:num>
  <w:num w:numId="22">
    <w:abstractNumId w:val="17"/>
  </w:num>
  <w:num w:numId="23">
    <w:abstractNumId w:val="24"/>
  </w:num>
  <w:num w:numId="24">
    <w:abstractNumId w:val="12"/>
  </w:num>
  <w:num w:numId="25">
    <w:abstractNumId w:val="15"/>
  </w:num>
  <w:num w:numId="26">
    <w:abstractNumId w:val="20"/>
  </w:num>
  <w:num w:numId="27">
    <w:abstractNumId w:val="11"/>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90"/>
    <w:rsid w:val="00005AFF"/>
    <w:rsid w:val="000241EF"/>
    <w:rsid w:val="0003149F"/>
    <w:rsid w:val="0003476D"/>
    <w:rsid w:val="00041D67"/>
    <w:rsid w:val="000474A5"/>
    <w:rsid w:val="00051570"/>
    <w:rsid w:val="00066F3C"/>
    <w:rsid w:val="00070718"/>
    <w:rsid w:val="0009744B"/>
    <w:rsid w:val="000A2E14"/>
    <w:rsid w:val="000A7756"/>
    <w:rsid w:val="000C517E"/>
    <w:rsid w:val="000F78E5"/>
    <w:rsid w:val="0010537D"/>
    <w:rsid w:val="0010566E"/>
    <w:rsid w:val="00124246"/>
    <w:rsid w:val="00127073"/>
    <w:rsid w:val="00140053"/>
    <w:rsid w:val="001407FA"/>
    <w:rsid w:val="001501C9"/>
    <w:rsid w:val="00152BA5"/>
    <w:rsid w:val="0016585D"/>
    <w:rsid w:val="001714ED"/>
    <w:rsid w:val="00177384"/>
    <w:rsid w:val="001870E3"/>
    <w:rsid w:val="00190AB4"/>
    <w:rsid w:val="00191518"/>
    <w:rsid w:val="001B143F"/>
    <w:rsid w:val="001B3AC6"/>
    <w:rsid w:val="001C5E0C"/>
    <w:rsid w:val="001D2D00"/>
    <w:rsid w:val="001D5511"/>
    <w:rsid w:val="001E2BEC"/>
    <w:rsid w:val="00206B2E"/>
    <w:rsid w:val="00210583"/>
    <w:rsid w:val="00214F73"/>
    <w:rsid w:val="002209C0"/>
    <w:rsid w:val="00220A63"/>
    <w:rsid w:val="00225B9F"/>
    <w:rsid w:val="00232F51"/>
    <w:rsid w:val="002403D7"/>
    <w:rsid w:val="00247696"/>
    <w:rsid w:val="0025634A"/>
    <w:rsid w:val="00270AD3"/>
    <w:rsid w:val="00277876"/>
    <w:rsid w:val="00280F9D"/>
    <w:rsid w:val="00284DA3"/>
    <w:rsid w:val="00290EA9"/>
    <w:rsid w:val="002A50CE"/>
    <w:rsid w:val="002E16D7"/>
    <w:rsid w:val="002F3BCF"/>
    <w:rsid w:val="002F49A9"/>
    <w:rsid w:val="002F7BED"/>
    <w:rsid w:val="00310B84"/>
    <w:rsid w:val="00320557"/>
    <w:rsid w:val="00326C59"/>
    <w:rsid w:val="00326DFA"/>
    <w:rsid w:val="00342DBE"/>
    <w:rsid w:val="00351FB8"/>
    <w:rsid w:val="003563E1"/>
    <w:rsid w:val="0035786E"/>
    <w:rsid w:val="003616FA"/>
    <w:rsid w:val="00362863"/>
    <w:rsid w:val="003635AD"/>
    <w:rsid w:val="00366E3C"/>
    <w:rsid w:val="0037110B"/>
    <w:rsid w:val="00395751"/>
    <w:rsid w:val="003B079E"/>
    <w:rsid w:val="003F13C0"/>
    <w:rsid w:val="0041645D"/>
    <w:rsid w:val="00417089"/>
    <w:rsid w:val="00420B09"/>
    <w:rsid w:val="00421298"/>
    <w:rsid w:val="00431EF9"/>
    <w:rsid w:val="00433D81"/>
    <w:rsid w:val="00434B63"/>
    <w:rsid w:val="00440D4B"/>
    <w:rsid w:val="0044683B"/>
    <w:rsid w:val="0045185C"/>
    <w:rsid w:val="0045633D"/>
    <w:rsid w:val="00456B9D"/>
    <w:rsid w:val="004635A9"/>
    <w:rsid w:val="0047044A"/>
    <w:rsid w:val="00475670"/>
    <w:rsid w:val="00483510"/>
    <w:rsid w:val="00486292"/>
    <w:rsid w:val="00487636"/>
    <w:rsid w:val="00494FCE"/>
    <w:rsid w:val="004A1F05"/>
    <w:rsid w:val="004A5E3F"/>
    <w:rsid w:val="004C56F7"/>
    <w:rsid w:val="004C5F64"/>
    <w:rsid w:val="004E2D84"/>
    <w:rsid w:val="004F4A45"/>
    <w:rsid w:val="004F62D7"/>
    <w:rsid w:val="004F706D"/>
    <w:rsid w:val="00524A1D"/>
    <w:rsid w:val="00550E0C"/>
    <w:rsid w:val="00560EFE"/>
    <w:rsid w:val="00587DE6"/>
    <w:rsid w:val="00596B7C"/>
    <w:rsid w:val="005D512C"/>
    <w:rsid w:val="005D5FCB"/>
    <w:rsid w:val="005E1AAF"/>
    <w:rsid w:val="005E2ABF"/>
    <w:rsid w:val="005E481C"/>
    <w:rsid w:val="00612219"/>
    <w:rsid w:val="006145CC"/>
    <w:rsid w:val="0062158C"/>
    <w:rsid w:val="00623CA7"/>
    <w:rsid w:val="00636A87"/>
    <w:rsid w:val="00644462"/>
    <w:rsid w:val="006649D4"/>
    <w:rsid w:val="006737F2"/>
    <w:rsid w:val="00673A11"/>
    <w:rsid w:val="00673E10"/>
    <w:rsid w:val="006746AB"/>
    <w:rsid w:val="00696FAA"/>
    <w:rsid w:val="006A3851"/>
    <w:rsid w:val="006B4690"/>
    <w:rsid w:val="006C1184"/>
    <w:rsid w:val="006D74AC"/>
    <w:rsid w:val="006E4925"/>
    <w:rsid w:val="006E57B6"/>
    <w:rsid w:val="006F1A8F"/>
    <w:rsid w:val="006F49BF"/>
    <w:rsid w:val="0072263B"/>
    <w:rsid w:val="00722948"/>
    <w:rsid w:val="00731747"/>
    <w:rsid w:val="00734EF1"/>
    <w:rsid w:val="00737272"/>
    <w:rsid w:val="007550E0"/>
    <w:rsid w:val="00756FBF"/>
    <w:rsid w:val="00764AD4"/>
    <w:rsid w:val="0076541F"/>
    <w:rsid w:val="0078158B"/>
    <w:rsid w:val="00783791"/>
    <w:rsid w:val="00785237"/>
    <w:rsid w:val="0078678B"/>
    <w:rsid w:val="00795F6C"/>
    <w:rsid w:val="007A263F"/>
    <w:rsid w:val="007A39B8"/>
    <w:rsid w:val="007B22BF"/>
    <w:rsid w:val="007C3A64"/>
    <w:rsid w:val="007E314C"/>
    <w:rsid w:val="007E7FEE"/>
    <w:rsid w:val="007F0C27"/>
    <w:rsid w:val="007F18BC"/>
    <w:rsid w:val="007F4ABB"/>
    <w:rsid w:val="00803FAC"/>
    <w:rsid w:val="00811804"/>
    <w:rsid w:val="0081676A"/>
    <w:rsid w:val="00820EA5"/>
    <w:rsid w:val="0084164C"/>
    <w:rsid w:val="00843AAF"/>
    <w:rsid w:val="0084673A"/>
    <w:rsid w:val="0086041E"/>
    <w:rsid w:val="00867489"/>
    <w:rsid w:val="0087187B"/>
    <w:rsid w:val="0088078F"/>
    <w:rsid w:val="00894424"/>
    <w:rsid w:val="008A2A0F"/>
    <w:rsid w:val="008B67BF"/>
    <w:rsid w:val="008E54EA"/>
    <w:rsid w:val="009142D0"/>
    <w:rsid w:val="00917909"/>
    <w:rsid w:val="00922BF5"/>
    <w:rsid w:val="00930001"/>
    <w:rsid w:val="0093204E"/>
    <w:rsid w:val="00932E69"/>
    <w:rsid w:val="009331E7"/>
    <w:rsid w:val="00937483"/>
    <w:rsid w:val="009434E2"/>
    <w:rsid w:val="0095028A"/>
    <w:rsid w:val="00954155"/>
    <w:rsid w:val="00963571"/>
    <w:rsid w:val="0097071E"/>
    <w:rsid w:val="00973252"/>
    <w:rsid w:val="00975851"/>
    <w:rsid w:val="00977B76"/>
    <w:rsid w:val="0098466F"/>
    <w:rsid w:val="00987B1E"/>
    <w:rsid w:val="009943E3"/>
    <w:rsid w:val="00994AB5"/>
    <w:rsid w:val="009C1DC1"/>
    <w:rsid w:val="009C3137"/>
    <w:rsid w:val="009C5AC9"/>
    <w:rsid w:val="009C679C"/>
    <w:rsid w:val="009D1AF9"/>
    <w:rsid w:val="009D3A83"/>
    <w:rsid w:val="009E4106"/>
    <w:rsid w:val="009F3CB0"/>
    <w:rsid w:val="009F4AD0"/>
    <w:rsid w:val="009F68DE"/>
    <w:rsid w:val="00A04C3A"/>
    <w:rsid w:val="00A04EA2"/>
    <w:rsid w:val="00A14C11"/>
    <w:rsid w:val="00A15AFD"/>
    <w:rsid w:val="00A26B32"/>
    <w:rsid w:val="00A30927"/>
    <w:rsid w:val="00A41F06"/>
    <w:rsid w:val="00A579A8"/>
    <w:rsid w:val="00A579F4"/>
    <w:rsid w:val="00A66ABA"/>
    <w:rsid w:val="00A70FAF"/>
    <w:rsid w:val="00A7225D"/>
    <w:rsid w:val="00A757A2"/>
    <w:rsid w:val="00A759E7"/>
    <w:rsid w:val="00A761AA"/>
    <w:rsid w:val="00A80A26"/>
    <w:rsid w:val="00A843EA"/>
    <w:rsid w:val="00A9069F"/>
    <w:rsid w:val="00A92BE8"/>
    <w:rsid w:val="00A979B0"/>
    <w:rsid w:val="00AA569C"/>
    <w:rsid w:val="00AA7560"/>
    <w:rsid w:val="00AB11AA"/>
    <w:rsid w:val="00AB451E"/>
    <w:rsid w:val="00AB5BD4"/>
    <w:rsid w:val="00AB7A4A"/>
    <w:rsid w:val="00AB7A7C"/>
    <w:rsid w:val="00AC24EF"/>
    <w:rsid w:val="00AD4228"/>
    <w:rsid w:val="00AE483C"/>
    <w:rsid w:val="00AE7AEE"/>
    <w:rsid w:val="00AF2C5D"/>
    <w:rsid w:val="00B00F50"/>
    <w:rsid w:val="00B227CA"/>
    <w:rsid w:val="00B22FCB"/>
    <w:rsid w:val="00B33E56"/>
    <w:rsid w:val="00B420E2"/>
    <w:rsid w:val="00B5281E"/>
    <w:rsid w:val="00B7387B"/>
    <w:rsid w:val="00B8658C"/>
    <w:rsid w:val="00BB185F"/>
    <w:rsid w:val="00BB20A4"/>
    <w:rsid w:val="00BB213A"/>
    <w:rsid w:val="00BB4C1A"/>
    <w:rsid w:val="00BC1218"/>
    <w:rsid w:val="00BD48B6"/>
    <w:rsid w:val="00BE5C34"/>
    <w:rsid w:val="00BE6E69"/>
    <w:rsid w:val="00BF5A0E"/>
    <w:rsid w:val="00C00EA6"/>
    <w:rsid w:val="00C02289"/>
    <w:rsid w:val="00C22E54"/>
    <w:rsid w:val="00C26A30"/>
    <w:rsid w:val="00C42C8A"/>
    <w:rsid w:val="00C5204B"/>
    <w:rsid w:val="00C742F7"/>
    <w:rsid w:val="00C74A1E"/>
    <w:rsid w:val="00C91CAB"/>
    <w:rsid w:val="00C92090"/>
    <w:rsid w:val="00CB6906"/>
    <w:rsid w:val="00CB7D2F"/>
    <w:rsid w:val="00CD01F1"/>
    <w:rsid w:val="00CE2FC7"/>
    <w:rsid w:val="00CF0AE2"/>
    <w:rsid w:val="00CF1C8B"/>
    <w:rsid w:val="00CF536C"/>
    <w:rsid w:val="00D12FE3"/>
    <w:rsid w:val="00D31FE1"/>
    <w:rsid w:val="00D32180"/>
    <w:rsid w:val="00D740CA"/>
    <w:rsid w:val="00D9594C"/>
    <w:rsid w:val="00D96D8A"/>
    <w:rsid w:val="00DA2532"/>
    <w:rsid w:val="00DA2D8B"/>
    <w:rsid w:val="00DA5BED"/>
    <w:rsid w:val="00DA5EEE"/>
    <w:rsid w:val="00DD0072"/>
    <w:rsid w:val="00DD4FED"/>
    <w:rsid w:val="00DE0DF5"/>
    <w:rsid w:val="00DE44B3"/>
    <w:rsid w:val="00DE72FE"/>
    <w:rsid w:val="00DF51FC"/>
    <w:rsid w:val="00E036FF"/>
    <w:rsid w:val="00E12258"/>
    <w:rsid w:val="00E14F18"/>
    <w:rsid w:val="00E25456"/>
    <w:rsid w:val="00E32153"/>
    <w:rsid w:val="00E36003"/>
    <w:rsid w:val="00E51EAB"/>
    <w:rsid w:val="00E64C72"/>
    <w:rsid w:val="00E77D71"/>
    <w:rsid w:val="00E879A5"/>
    <w:rsid w:val="00EA44F2"/>
    <w:rsid w:val="00EC5FFC"/>
    <w:rsid w:val="00ED3296"/>
    <w:rsid w:val="00EE1171"/>
    <w:rsid w:val="00EF623D"/>
    <w:rsid w:val="00F06D8E"/>
    <w:rsid w:val="00F3344A"/>
    <w:rsid w:val="00F36023"/>
    <w:rsid w:val="00F366D0"/>
    <w:rsid w:val="00F46397"/>
    <w:rsid w:val="00F465AB"/>
    <w:rsid w:val="00F5569F"/>
    <w:rsid w:val="00F61109"/>
    <w:rsid w:val="00F7033B"/>
    <w:rsid w:val="00F70888"/>
    <w:rsid w:val="00F75545"/>
    <w:rsid w:val="00F9168E"/>
    <w:rsid w:val="00F91742"/>
    <w:rsid w:val="00F93F80"/>
    <w:rsid w:val="00FA64FA"/>
    <w:rsid w:val="00FB0AD7"/>
    <w:rsid w:val="00FB1458"/>
    <w:rsid w:val="00FB5151"/>
    <w:rsid w:val="00FC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CF64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uiPriority w:val="34"/>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styleId="Emphasis">
    <w:name w:val="Emphasis"/>
    <w:qFormat/>
    <w:rsid w:val="00BB4C1A"/>
    <w:rPr>
      <w:i/>
      <w:iCs/>
    </w:rPr>
  </w:style>
  <w:style w:type="character" w:styleId="Hyperlink">
    <w:name w:val="Hyperlink"/>
    <w:basedOn w:val="DefaultParagraphFont"/>
    <w:uiPriority w:val="99"/>
    <w:unhideWhenUsed/>
    <w:rsid w:val="00734EF1"/>
    <w:rPr>
      <w:color w:val="0000FF"/>
      <w:u w:val="single"/>
    </w:rPr>
  </w:style>
  <w:style w:type="character" w:styleId="FollowedHyperlink">
    <w:name w:val="FollowedHyperlink"/>
    <w:basedOn w:val="DefaultParagraphFont"/>
    <w:uiPriority w:val="99"/>
    <w:semiHidden/>
    <w:unhideWhenUsed/>
    <w:rsid w:val="0098466F"/>
    <w:rPr>
      <w:color w:val="800080" w:themeColor="followedHyperlink"/>
      <w:u w:val="single"/>
    </w:rPr>
  </w:style>
  <w:style w:type="character" w:customStyle="1" w:styleId="UnresolvedMention">
    <w:name w:val="Unresolved Mention"/>
    <w:basedOn w:val="DefaultParagraphFont"/>
    <w:uiPriority w:val="99"/>
    <w:semiHidden/>
    <w:unhideWhenUsed/>
    <w:rsid w:val="006E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2912">
      <w:bodyDiv w:val="1"/>
      <w:marLeft w:val="0"/>
      <w:marRight w:val="0"/>
      <w:marTop w:val="0"/>
      <w:marBottom w:val="0"/>
      <w:divBdr>
        <w:top w:val="none" w:sz="0" w:space="0" w:color="auto"/>
        <w:left w:val="none" w:sz="0" w:space="0" w:color="auto"/>
        <w:bottom w:val="none" w:sz="0" w:space="0" w:color="auto"/>
        <w:right w:val="none" w:sz="0" w:space="0" w:color="auto"/>
      </w:divBdr>
      <w:divsChild>
        <w:div w:id="84229351">
          <w:marLeft w:val="360"/>
          <w:marRight w:val="0"/>
          <w:marTop w:val="200"/>
          <w:marBottom w:val="0"/>
          <w:divBdr>
            <w:top w:val="none" w:sz="0" w:space="0" w:color="auto"/>
            <w:left w:val="none" w:sz="0" w:space="0" w:color="auto"/>
            <w:bottom w:val="none" w:sz="0" w:space="0" w:color="auto"/>
            <w:right w:val="none" w:sz="0" w:space="0" w:color="auto"/>
          </w:divBdr>
        </w:div>
      </w:divsChild>
    </w:div>
    <w:div w:id="306008097">
      <w:bodyDiv w:val="1"/>
      <w:marLeft w:val="0"/>
      <w:marRight w:val="0"/>
      <w:marTop w:val="0"/>
      <w:marBottom w:val="0"/>
      <w:divBdr>
        <w:top w:val="none" w:sz="0" w:space="0" w:color="auto"/>
        <w:left w:val="none" w:sz="0" w:space="0" w:color="auto"/>
        <w:bottom w:val="none" w:sz="0" w:space="0" w:color="auto"/>
        <w:right w:val="none" w:sz="0" w:space="0" w:color="auto"/>
      </w:divBdr>
      <w:divsChild>
        <w:div w:id="1885948467">
          <w:marLeft w:val="360"/>
          <w:marRight w:val="0"/>
          <w:marTop w:val="200"/>
          <w:marBottom w:val="0"/>
          <w:divBdr>
            <w:top w:val="none" w:sz="0" w:space="0" w:color="auto"/>
            <w:left w:val="none" w:sz="0" w:space="0" w:color="auto"/>
            <w:bottom w:val="none" w:sz="0" w:space="0" w:color="auto"/>
            <w:right w:val="none" w:sz="0" w:space="0" w:color="auto"/>
          </w:divBdr>
        </w:div>
      </w:divsChild>
    </w:div>
    <w:div w:id="498883499">
      <w:bodyDiv w:val="1"/>
      <w:marLeft w:val="0"/>
      <w:marRight w:val="0"/>
      <w:marTop w:val="0"/>
      <w:marBottom w:val="0"/>
      <w:divBdr>
        <w:top w:val="none" w:sz="0" w:space="0" w:color="auto"/>
        <w:left w:val="none" w:sz="0" w:space="0" w:color="auto"/>
        <w:bottom w:val="none" w:sz="0" w:space="0" w:color="auto"/>
        <w:right w:val="none" w:sz="0" w:space="0" w:color="auto"/>
      </w:divBdr>
    </w:div>
    <w:div w:id="911231440">
      <w:bodyDiv w:val="1"/>
      <w:marLeft w:val="0"/>
      <w:marRight w:val="0"/>
      <w:marTop w:val="0"/>
      <w:marBottom w:val="0"/>
      <w:divBdr>
        <w:top w:val="none" w:sz="0" w:space="0" w:color="auto"/>
        <w:left w:val="none" w:sz="0" w:space="0" w:color="auto"/>
        <w:bottom w:val="none" w:sz="0" w:space="0" w:color="auto"/>
        <w:right w:val="none" w:sz="0" w:space="0" w:color="auto"/>
      </w:divBdr>
    </w:div>
    <w:div w:id="115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5546897">
          <w:marLeft w:val="360"/>
          <w:marRight w:val="0"/>
          <w:marTop w:val="200"/>
          <w:marBottom w:val="0"/>
          <w:divBdr>
            <w:top w:val="none" w:sz="0" w:space="0" w:color="auto"/>
            <w:left w:val="none" w:sz="0" w:space="0" w:color="auto"/>
            <w:bottom w:val="none" w:sz="0" w:space="0" w:color="auto"/>
            <w:right w:val="none" w:sz="0" w:space="0" w:color="auto"/>
          </w:divBdr>
        </w:div>
        <w:div w:id="187840786">
          <w:marLeft w:val="360"/>
          <w:marRight w:val="0"/>
          <w:marTop w:val="200"/>
          <w:marBottom w:val="0"/>
          <w:divBdr>
            <w:top w:val="none" w:sz="0" w:space="0" w:color="auto"/>
            <w:left w:val="none" w:sz="0" w:space="0" w:color="auto"/>
            <w:bottom w:val="none" w:sz="0" w:space="0" w:color="auto"/>
            <w:right w:val="none" w:sz="0" w:space="0" w:color="auto"/>
          </w:divBdr>
        </w:div>
        <w:div w:id="694425847">
          <w:marLeft w:val="360"/>
          <w:marRight w:val="0"/>
          <w:marTop w:val="200"/>
          <w:marBottom w:val="0"/>
          <w:divBdr>
            <w:top w:val="none" w:sz="0" w:space="0" w:color="auto"/>
            <w:left w:val="none" w:sz="0" w:space="0" w:color="auto"/>
            <w:bottom w:val="none" w:sz="0" w:space="0" w:color="auto"/>
            <w:right w:val="none" w:sz="0" w:space="0" w:color="auto"/>
          </w:divBdr>
        </w:div>
      </w:divsChild>
    </w:div>
    <w:div w:id="1183205080">
      <w:bodyDiv w:val="1"/>
      <w:marLeft w:val="0"/>
      <w:marRight w:val="0"/>
      <w:marTop w:val="0"/>
      <w:marBottom w:val="0"/>
      <w:divBdr>
        <w:top w:val="none" w:sz="0" w:space="0" w:color="auto"/>
        <w:left w:val="none" w:sz="0" w:space="0" w:color="auto"/>
        <w:bottom w:val="none" w:sz="0" w:space="0" w:color="auto"/>
        <w:right w:val="none" w:sz="0" w:space="0" w:color="auto"/>
      </w:divBdr>
      <w:divsChild>
        <w:div w:id="979769595">
          <w:marLeft w:val="360"/>
          <w:marRight w:val="0"/>
          <w:marTop w:val="200"/>
          <w:marBottom w:val="0"/>
          <w:divBdr>
            <w:top w:val="none" w:sz="0" w:space="0" w:color="auto"/>
            <w:left w:val="none" w:sz="0" w:space="0" w:color="auto"/>
            <w:bottom w:val="none" w:sz="0" w:space="0" w:color="auto"/>
            <w:right w:val="none" w:sz="0" w:space="0" w:color="auto"/>
          </w:divBdr>
        </w:div>
        <w:div w:id="1158115393">
          <w:marLeft w:val="360"/>
          <w:marRight w:val="0"/>
          <w:marTop w:val="200"/>
          <w:marBottom w:val="0"/>
          <w:divBdr>
            <w:top w:val="none" w:sz="0" w:space="0" w:color="auto"/>
            <w:left w:val="none" w:sz="0" w:space="0" w:color="auto"/>
            <w:bottom w:val="none" w:sz="0" w:space="0" w:color="auto"/>
            <w:right w:val="none" w:sz="0" w:space="0" w:color="auto"/>
          </w:divBdr>
        </w:div>
        <w:div w:id="684330517">
          <w:marLeft w:val="360"/>
          <w:marRight w:val="0"/>
          <w:marTop w:val="200"/>
          <w:marBottom w:val="0"/>
          <w:divBdr>
            <w:top w:val="none" w:sz="0" w:space="0" w:color="auto"/>
            <w:left w:val="none" w:sz="0" w:space="0" w:color="auto"/>
            <w:bottom w:val="none" w:sz="0" w:space="0" w:color="auto"/>
            <w:right w:val="none" w:sz="0" w:space="0" w:color="auto"/>
          </w:divBdr>
        </w:div>
      </w:divsChild>
    </w:div>
    <w:div w:id="1541548512">
      <w:bodyDiv w:val="1"/>
      <w:marLeft w:val="0"/>
      <w:marRight w:val="0"/>
      <w:marTop w:val="0"/>
      <w:marBottom w:val="0"/>
      <w:divBdr>
        <w:top w:val="none" w:sz="0" w:space="0" w:color="auto"/>
        <w:left w:val="none" w:sz="0" w:space="0" w:color="auto"/>
        <w:bottom w:val="none" w:sz="0" w:space="0" w:color="auto"/>
        <w:right w:val="none" w:sz="0" w:space="0" w:color="auto"/>
      </w:divBdr>
    </w:div>
    <w:div w:id="1802921542">
      <w:bodyDiv w:val="1"/>
      <w:marLeft w:val="0"/>
      <w:marRight w:val="0"/>
      <w:marTop w:val="0"/>
      <w:marBottom w:val="0"/>
      <w:divBdr>
        <w:top w:val="none" w:sz="0" w:space="0" w:color="auto"/>
        <w:left w:val="none" w:sz="0" w:space="0" w:color="auto"/>
        <w:bottom w:val="none" w:sz="0" w:space="0" w:color="auto"/>
        <w:right w:val="none" w:sz="0" w:space="0" w:color="auto"/>
      </w:divBdr>
    </w:div>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 w:id="18783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F816-3675-47EF-AE72-792B2EA8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Ollie Weber-Brown</dc:creator>
  <cp:lastModifiedBy>Ollie Weber-Brown</cp:lastModifiedBy>
  <cp:revision>2</cp:revision>
  <cp:lastPrinted>2020-03-05T11:08:00Z</cp:lastPrinted>
  <dcterms:created xsi:type="dcterms:W3CDTF">2020-04-29T13:44:00Z</dcterms:created>
  <dcterms:modified xsi:type="dcterms:W3CDTF">2020-04-29T13:44:00Z</dcterms:modified>
</cp:coreProperties>
</file>